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843" w:rsidRPr="00310843" w:rsidRDefault="00310843" w:rsidP="00310843">
      <w:pPr>
        <w:spacing w:after="0" w:line="360" w:lineRule="auto"/>
        <w:jc w:val="both"/>
        <w:rPr>
          <w:rFonts w:ascii="Palatino Linotype" w:hAnsi="Palatino Linotype" w:cs="Arial"/>
          <w:b/>
          <w:sz w:val="24"/>
          <w:szCs w:val="24"/>
        </w:rPr>
      </w:pPr>
      <w:bookmarkStart w:id="0" w:name="_GoBack"/>
      <w:bookmarkEnd w:id="0"/>
      <w:r w:rsidRPr="00310843">
        <w:rPr>
          <w:rFonts w:ascii="Palatino Linotype" w:hAnsi="Palatino Linotype" w:cs="Arial"/>
          <w:b/>
          <w:sz w:val="24"/>
          <w:szCs w:val="24"/>
        </w:rPr>
        <w:t>VOTO PARTICULAR DEL COMISIONADO JOSÉ GUADALUPE LUNA HERNÁNDEZ EN EL RECURSO DE REVISIÓN 0</w:t>
      </w:r>
      <w:r>
        <w:rPr>
          <w:rFonts w:ascii="Palatino Linotype" w:hAnsi="Palatino Linotype" w:cs="Arial"/>
          <w:b/>
          <w:sz w:val="24"/>
          <w:szCs w:val="24"/>
        </w:rPr>
        <w:t>00</w:t>
      </w:r>
      <w:r w:rsidRPr="00310843">
        <w:rPr>
          <w:rFonts w:ascii="Palatino Linotype" w:hAnsi="Palatino Linotype" w:cs="Arial"/>
          <w:b/>
          <w:sz w:val="24"/>
          <w:szCs w:val="24"/>
        </w:rPr>
        <w:t>22/INFOEM/IP/RR/201</w:t>
      </w:r>
      <w:r>
        <w:rPr>
          <w:rFonts w:ascii="Palatino Linotype" w:hAnsi="Palatino Linotype" w:cs="Arial"/>
          <w:b/>
          <w:sz w:val="24"/>
          <w:szCs w:val="24"/>
        </w:rPr>
        <w:t>9</w:t>
      </w:r>
      <w:r w:rsidRPr="00310843">
        <w:rPr>
          <w:rFonts w:ascii="Palatino Linotype" w:hAnsi="Palatino Linotype" w:cs="Arial"/>
          <w:b/>
          <w:sz w:val="24"/>
          <w:szCs w:val="24"/>
        </w:rPr>
        <w:t>.</w:t>
      </w:r>
    </w:p>
    <w:p w:rsidR="00310843" w:rsidRPr="00310843" w:rsidRDefault="00310843" w:rsidP="00310843">
      <w:pPr>
        <w:spacing w:after="0" w:line="360" w:lineRule="auto"/>
        <w:jc w:val="both"/>
        <w:rPr>
          <w:rFonts w:ascii="Palatino Linotype" w:hAnsi="Palatino Linotype" w:cs="Arial"/>
          <w:b/>
          <w:sz w:val="24"/>
          <w:szCs w:val="24"/>
        </w:rPr>
      </w:pPr>
    </w:p>
    <w:p w:rsidR="00310843" w:rsidRPr="00310843" w:rsidRDefault="00310843" w:rsidP="00310843">
      <w:pPr>
        <w:spacing w:after="0" w:line="360" w:lineRule="auto"/>
        <w:jc w:val="both"/>
        <w:rPr>
          <w:rFonts w:ascii="Palatino Linotype" w:hAnsi="Palatino Linotype" w:cs="Arial"/>
          <w:b/>
          <w:sz w:val="24"/>
          <w:szCs w:val="24"/>
        </w:rPr>
      </w:pPr>
      <w:r w:rsidRPr="00310843">
        <w:rPr>
          <w:rFonts w:ascii="Palatino Linotype" w:hAnsi="Palatino Linotype" w:cs="Arial"/>
          <w:b/>
          <w:sz w:val="24"/>
          <w:szCs w:val="24"/>
        </w:rPr>
        <w:t xml:space="preserve">Resumen del voto: </w:t>
      </w:r>
      <w:r w:rsidRPr="00310843">
        <w:rPr>
          <w:rFonts w:ascii="Palatino Linotype" w:hAnsi="Palatino Linotype" w:cs="Arial"/>
          <w:sz w:val="24"/>
          <w:szCs w:val="24"/>
        </w:rPr>
        <w:t>El presente voto particular señala que</w:t>
      </w:r>
      <w:r w:rsidRPr="00310843">
        <w:rPr>
          <w:rFonts w:ascii="Palatino Linotype" w:hAnsi="Palatino Linotype" w:cs="Arial"/>
          <w:b/>
          <w:sz w:val="24"/>
          <w:szCs w:val="24"/>
        </w:rPr>
        <w:t xml:space="preserve"> </w:t>
      </w:r>
      <w:r w:rsidRPr="00310843">
        <w:rPr>
          <w:rFonts w:ascii="Palatino Linotype" w:hAnsi="Palatino Linotype" w:cs="Arial"/>
          <w:sz w:val="24"/>
          <w:szCs w:val="24"/>
        </w:rPr>
        <w:t>el riesgo generado al suplir las deficiencias de los Sujetos Obligados es mayor al beneficio brindado, puesto que considero firmemente que, con dichas acciones se consiente la falta de compromiso por parte de las autoridades para responder de manera completa y oportuna las solicitudes de acceso a la información, y en consecuencia, se provoca también, que en actos futuros se omita cumplir con la obligación de seguir el procedimiento que establece la Ley de Transparencia y Acceso a la Información Pública del Estado de México y Municipios para dar cumplimiento al mandato constitucional.</w:t>
      </w:r>
    </w:p>
    <w:p w:rsidR="00310843" w:rsidRPr="00310843" w:rsidRDefault="00310843" w:rsidP="00310843">
      <w:pPr>
        <w:spacing w:after="0" w:line="360" w:lineRule="auto"/>
        <w:jc w:val="both"/>
        <w:rPr>
          <w:rFonts w:ascii="Palatino Linotype" w:hAnsi="Palatino Linotype" w:cs="Arial"/>
          <w:b/>
          <w:sz w:val="24"/>
          <w:szCs w:val="24"/>
        </w:rPr>
      </w:pPr>
    </w:p>
    <w:p w:rsidR="00310843" w:rsidRPr="00310843" w:rsidRDefault="00310843" w:rsidP="00310843">
      <w:pPr>
        <w:spacing w:after="0" w:line="360" w:lineRule="auto"/>
        <w:jc w:val="both"/>
        <w:rPr>
          <w:rFonts w:ascii="Palatino Linotype" w:hAnsi="Palatino Linotype" w:cs="Arial"/>
          <w:b/>
          <w:sz w:val="24"/>
          <w:szCs w:val="24"/>
        </w:rPr>
      </w:pPr>
    </w:p>
    <w:p w:rsidR="00310843" w:rsidRPr="00310843" w:rsidRDefault="00310843" w:rsidP="00310843">
      <w:pPr>
        <w:spacing w:after="0" w:line="360" w:lineRule="auto"/>
        <w:jc w:val="both"/>
        <w:rPr>
          <w:rFonts w:ascii="Palatino Linotype" w:hAnsi="Palatino Linotype" w:cs="Arial"/>
          <w:b/>
          <w:sz w:val="24"/>
          <w:szCs w:val="24"/>
        </w:rPr>
      </w:pPr>
    </w:p>
    <w:p w:rsidR="00310843" w:rsidRPr="00310843" w:rsidRDefault="00310843" w:rsidP="00310843">
      <w:pPr>
        <w:spacing w:after="0" w:line="360" w:lineRule="auto"/>
        <w:jc w:val="both"/>
        <w:rPr>
          <w:rFonts w:ascii="Palatino Linotype" w:hAnsi="Palatino Linotype" w:cs="Arial"/>
          <w:b/>
          <w:sz w:val="24"/>
          <w:szCs w:val="24"/>
        </w:rPr>
      </w:pPr>
    </w:p>
    <w:p w:rsidR="00310843" w:rsidRPr="00310843" w:rsidRDefault="00310843" w:rsidP="00310843">
      <w:pPr>
        <w:spacing w:after="0" w:line="360" w:lineRule="auto"/>
        <w:jc w:val="both"/>
        <w:rPr>
          <w:rFonts w:ascii="Palatino Linotype" w:hAnsi="Palatino Linotype" w:cs="Arial"/>
          <w:b/>
          <w:sz w:val="24"/>
          <w:szCs w:val="24"/>
        </w:rPr>
      </w:pPr>
    </w:p>
    <w:p w:rsidR="00310843" w:rsidRPr="00310843" w:rsidRDefault="00310843" w:rsidP="00310843">
      <w:pPr>
        <w:spacing w:after="0" w:line="360" w:lineRule="auto"/>
        <w:jc w:val="both"/>
        <w:rPr>
          <w:rFonts w:ascii="Palatino Linotype" w:hAnsi="Palatino Linotype" w:cs="Arial"/>
          <w:b/>
          <w:sz w:val="24"/>
          <w:szCs w:val="24"/>
        </w:rPr>
      </w:pPr>
    </w:p>
    <w:p w:rsidR="00310843" w:rsidRPr="00310843" w:rsidRDefault="00310843" w:rsidP="00310843">
      <w:pPr>
        <w:spacing w:after="0" w:line="360" w:lineRule="auto"/>
        <w:jc w:val="both"/>
        <w:rPr>
          <w:rFonts w:ascii="Palatino Linotype" w:hAnsi="Palatino Linotype" w:cs="Arial"/>
          <w:b/>
          <w:sz w:val="24"/>
          <w:szCs w:val="24"/>
        </w:rPr>
      </w:pPr>
    </w:p>
    <w:p w:rsidR="00310843" w:rsidRPr="00310843" w:rsidRDefault="00310843" w:rsidP="00310843">
      <w:pPr>
        <w:spacing w:after="0" w:line="360" w:lineRule="auto"/>
        <w:jc w:val="both"/>
        <w:rPr>
          <w:rFonts w:ascii="Palatino Linotype" w:hAnsi="Palatino Linotype" w:cs="Arial"/>
          <w:b/>
          <w:sz w:val="24"/>
          <w:szCs w:val="24"/>
        </w:rPr>
      </w:pPr>
    </w:p>
    <w:p w:rsidR="00310843" w:rsidRPr="00310843" w:rsidRDefault="00310843" w:rsidP="00310843">
      <w:pPr>
        <w:spacing w:after="0" w:line="360" w:lineRule="auto"/>
        <w:jc w:val="both"/>
        <w:rPr>
          <w:rFonts w:ascii="Palatino Linotype" w:hAnsi="Palatino Linotype" w:cs="Arial"/>
          <w:b/>
          <w:sz w:val="24"/>
          <w:szCs w:val="24"/>
        </w:rPr>
      </w:pPr>
    </w:p>
    <w:p w:rsidR="00310843" w:rsidRPr="00310843" w:rsidRDefault="00310843" w:rsidP="00310843">
      <w:pPr>
        <w:spacing w:after="0" w:line="360" w:lineRule="auto"/>
        <w:jc w:val="both"/>
        <w:rPr>
          <w:rFonts w:ascii="Palatino Linotype" w:hAnsi="Palatino Linotype" w:cs="Arial"/>
          <w:b/>
          <w:sz w:val="24"/>
          <w:szCs w:val="24"/>
        </w:rPr>
      </w:pPr>
    </w:p>
    <w:sdt>
      <w:sdtPr>
        <w:rPr>
          <w:szCs w:val="24"/>
          <w:lang w:val="es-ES"/>
        </w:rPr>
        <w:id w:val="-1339223820"/>
        <w:docPartObj>
          <w:docPartGallery w:val="Table of Contents"/>
          <w:docPartUnique/>
        </w:docPartObj>
      </w:sdtPr>
      <w:sdtEndPr>
        <w:rPr>
          <w:bCs/>
        </w:rPr>
      </w:sdtEndPr>
      <w:sdtContent>
        <w:p w:rsidR="00310843" w:rsidRPr="00310843" w:rsidRDefault="00310843" w:rsidP="00310843">
          <w:pPr>
            <w:keepNext/>
            <w:keepLines/>
            <w:spacing w:before="240" w:after="0"/>
            <w:rPr>
              <w:rFonts w:ascii="Palatino Linotype" w:eastAsiaTheme="majorEastAsia" w:hAnsi="Palatino Linotype" w:cstheme="majorBidi"/>
              <w:b/>
              <w:sz w:val="24"/>
              <w:szCs w:val="24"/>
              <w:lang w:eastAsia="es-MX"/>
            </w:rPr>
          </w:pPr>
          <w:r w:rsidRPr="00310843">
            <w:rPr>
              <w:rFonts w:ascii="Palatino Linotype" w:eastAsiaTheme="majorEastAsia" w:hAnsi="Palatino Linotype" w:cstheme="majorBidi"/>
              <w:b/>
              <w:sz w:val="24"/>
              <w:szCs w:val="24"/>
              <w:lang w:val="es-ES" w:eastAsia="es-MX"/>
            </w:rPr>
            <w:t>Índice</w:t>
          </w:r>
        </w:p>
        <w:p w:rsidR="00310843" w:rsidRPr="00310843" w:rsidRDefault="00310843" w:rsidP="00310843">
          <w:pPr>
            <w:tabs>
              <w:tab w:val="left" w:pos="440"/>
              <w:tab w:val="right" w:leader="dot" w:pos="8828"/>
            </w:tabs>
            <w:spacing w:after="100"/>
            <w:rPr>
              <w:rFonts w:eastAsiaTheme="minorEastAsia"/>
              <w:b/>
              <w:noProof/>
              <w:lang w:eastAsia="es-MX"/>
            </w:rPr>
          </w:pPr>
          <w:r w:rsidRPr="00310843">
            <w:rPr>
              <w:rFonts w:ascii="Palatino Linotype" w:hAnsi="Palatino Linotype"/>
              <w:b/>
              <w:sz w:val="24"/>
              <w:szCs w:val="24"/>
            </w:rPr>
            <w:fldChar w:fldCharType="begin"/>
          </w:r>
          <w:r w:rsidRPr="00310843">
            <w:rPr>
              <w:rFonts w:ascii="Palatino Linotype" w:hAnsi="Palatino Linotype"/>
              <w:b/>
              <w:sz w:val="24"/>
              <w:szCs w:val="24"/>
            </w:rPr>
            <w:instrText xml:space="preserve"> TOC \o "1-3" \h \z \u </w:instrText>
          </w:r>
          <w:r w:rsidRPr="00310843">
            <w:rPr>
              <w:rFonts w:ascii="Palatino Linotype" w:hAnsi="Palatino Linotype"/>
              <w:b/>
              <w:sz w:val="24"/>
              <w:szCs w:val="24"/>
            </w:rPr>
            <w:fldChar w:fldCharType="separate"/>
          </w:r>
          <w:hyperlink w:anchor="_Toc527987674" w:history="1">
            <w:r w:rsidRPr="00310843">
              <w:rPr>
                <w:b/>
                <w:noProof/>
                <w:color w:val="0563C1" w:themeColor="hyperlink"/>
                <w:u w:val="single"/>
              </w:rPr>
              <w:t>I.</w:t>
            </w:r>
            <w:r w:rsidRPr="00310843">
              <w:rPr>
                <w:rFonts w:eastAsiaTheme="minorEastAsia"/>
                <w:b/>
                <w:noProof/>
                <w:lang w:eastAsia="es-MX"/>
              </w:rPr>
              <w:tab/>
            </w:r>
            <w:r w:rsidRPr="00310843">
              <w:rPr>
                <w:b/>
                <w:noProof/>
                <w:color w:val="0563C1" w:themeColor="hyperlink"/>
                <w:u w:val="single"/>
              </w:rPr>
              <w:t>Consideraciones Generales.</w:t>
            </w:r>
            <w:r w:rsidRPr="00310843">
              <w:rPr>
                <w:b/>
                <w:noProof/>
                <w:webHidden/>
              </w:rPr>
              <w:tab/>
            </w:r>
            <w:r w:rsidRPr="00310843">
              <w:rPr>
                <w:b/>
                <w:noProof/>
                <w:webHidden/>
              </w:rPr>
              <w:fldChar w:fldCharType="begin"/>
            </w:r>
            <w:r w:rsidRPr="00310843">
              <w:rPr>
                <w:b/>
                <w:noProof/>
                <w:webHidden/>
              </w:rPr>
              <w:instrText xml:space="preserve"> PAGEREF _Toc527987674 \h </w:instrText>
            </w:r>
            <w:r w:rsidRPr="00310843">
              <w:rPr>
                <w:b/>
                <w:noProof/>
                <w:webHidden/>
              </w:rPr>
            </w:r>
            <w:r w:rsidRPr="00310843">
              <w:rPr>
                <w:b/>
                <w:noProof/>
                <w:webHidden/>
              </w:rPr>
              <w:fldChar w:fldCharType="separate"/>
            </w:r>
            <w:r w:rsidRPr="00310843">
              <w:rPr>
                <w:b/>
                <w:noProof/>
                <w:webHidden/>
              </w:rPr>
              <w:t>2</w:t>
            </w:r>
            <w:r w:rsidRPr="00310843">
              <w:rPr>
                <w:b/>
                <w:noProof/>
                <w:webHidden/>
              </w:rPr>
              <w:fldChar w:fldCharType="end"/>
            </w:r>
          </w:hyperlink>
        </w:p>
        <w:p w:rsidR="00310843" w:rsidRPr="00310843" w:rsidRDefault="00B50997" w:rsidP="00310843">
          <w:pPr>
            <w:tabs>
              <w:tab w:val="left" w:pos="440"/>
              <w:tab w:val="right" w:leader="dot" w:pos="8828"/>
            </w:tabs>
            <w:spacing w:after="100"/>
            <w:rPr>
              <w:rFonts w:eastAsiaTheme="minorEastAsia"/>
              <w:b/>
              <w:noProof/>
              <w:lang w:eastAsia="es-MX"/>
            </w:rPr>
          </w:pPr>
          <w:hyperlink w:anchor="_Toc527987675" w:history="1">
            <w:r w:rsidR="00310843" w:rsidRPr="00310843">
              <w:rPr>
                <w:b/>
                <w:noProof/>
                <w:color w:val="0563C1" w:themeColor="hyperlink"/>
                <w:u w:val="single"/>
              </w:rPr>
              <w:t>II.</w:t>
            </w:r>
            <w:r w:rsidR="00310843" w:rsidRPr="00310843">
              <w:rPr>
                <w:rFonts w:eastAsiaTheme="minorEastAsia"/>
                <w:b/>
                <w:noProof/>
                <w:lang w:eastAsia="es-MX"/>
              </w:rPr>
              <w:tab/>
            </w:r>
            <w:r w:rsidR="00310843" w:rsidRPr="00310843">
              <w:rPr>
                <w:b/>
                <w:noProof/>
                <w:color w:val="0563C1" w:themeColor="hyperlink"/>
                <w:u w:val="single"/>
              </w:rPr>
              <w:t>Del Procedimiento de Acceso a la Información Pública.</w:t>
            </w:r>
            <w:r w:rsidR="00310843" w:rsidRPr="00310843">
              <w:rPr>
                <w:b/>
                <w:noProof/>
                <w:webHidden/>
              </w:rPr>
              <w:tab/>
            </w:r>
            <w:r w:rsidR="00310843" w:rsidRPr="00310843">
              <w:rPr>
                <w:b/>
                <w:noProof/>
                <w:webHidden/>
              </w:rPr>
              <w:fldChar w:fldCharType="begin"/>
            </w:r>
            <w:r w:rsidR="00310843" w:rsidRPr="00310843">
              <w:rPr>
                <w:b/>
                <w:noProof/>
                <w:webHidden/>
              </w:rPr>
              <w:instrText xml:space="preserve"> PAGEREF _Toc527987675 \h </w:instrText>
            </w:r>
            <w:r w:rsidR="00310843" w:rsidRPr="00310843">
              <w:rPr>
                <w:b/>
                <w:noProof/>
                <w:webHidden/>
              </w:rPr>
            </w:r>
            <w:r w:rsidR="00310843" w:rsidRPr="00310843">
              <w:rPr>
                <w:b/>
                <w:noProof/>
                <w:webHidden/>
              </w:rPr>
              <w:fldChar w:fldCharType="separate"/>
            </w:r>
            <w:r w:rsidR="00310843" w:rsidRPr="00310843">
              <w:rPr>
                <w:b/>
                <w:noProof/>
                <w:webHidden/>
              </w:rPr>
              <w:t>3</w:t>
            </w:r>
            <w:r w:rsidR="00310843" w:rsidRPr="00310843">
              <w:rPr>
                <w:b/>
                <w:noProof/>
                <w:webHidden/>
              </w:rPr>
              <w:fldChar w:fldCharType="end"/>
            </w:r>
          </w:hyperlink>
        </w:p>
        <w:p w:rsidR="00310843" w:rsidRPr="00310843" w:rsidRDefault="00B50997" w:rsidP="00310843">
          <w:pPr>
            <w:tabs>
              <w:tab w:val="left" w:pos="660"/>
              <w:tab w:val="right" w:leader="dot" w:pos="8828"/>
            </w:tabs>
            <w:spacing w:after="100"/>
            <w:rPr>
              <w:rFonts w:eastAsiaTheme="minorEastAsia"/>
              <w:b/>
              <w:noProof/>
              <w:lang w:eastAsia="es-MX"/>
            </w:rPr>
          </w:pPr>
          <w:hyperlink w:anchor="_Toc527987676" w:history="1">
            <w:r w:rsidR="00310843" w:rsidRPr="00310843">
              <w:rPr>
                <w:b/>
                <w:noProof/>
                <w:color w:val="0563C1" w:themeColor="hyperlink"/>
                <w:u w:val="single"/>
              </w:rPr>
              <w:t>III.</w:t>
            </w:r>
            <w:r w:rsidR="00310843" w:rsidRPr="00310843">
              <w:rPr>
                <w:rFonts w:eastAsiaTheme="minorEastAsia"/>
                <w:b/>
                <w:noProof/>
                <w:lang w:eastAsia="es-MX"/>
              </w:rPr>
              <w:tab/>
            </w:r>
            <w:r w:rsidR="00310843" w:rsidRPr="00310843">
              <w:rPr>
                <w:b/>
                <w:noProof/>
                <w:color w:val="0563C1" w:themeColor="hyperlink"/>
                <w:u w:val="single"/>
              </w:rPr>
              <w:t xml:space="preserve">De la Suplencia al </w:t>
            </w:r>
            <w:r w:rsidR="00310843" w:rsidRPr="00310843">
              <w:rPr>
                <w:rFonts w:ascii="Palatino Linotype" w:hAnsi="Palatino Linotype"/>
                <w:b/>
                <w:noProof/>
                <w:color w:val="0563C1" w:themeColor="hyperlink"/>
              </w:rPr>
              <w:t>Procedimiento</w:t>
            </w:r>
            <w:r w:rsidR="00310843" w:rsidRPr="00310843">
              <w:rPr>
                <w:b/>
                <w:noProof/>
                <w:color w:val="0563C1" w:themeColor="hyperlink"/>
                <w:u w:val="single"/>
              </w:rPr>
              <w:t xml:space="preserve"> de Acceso a la Información Pública.</w:t>
            </w:r>
            <w:r w:rsidR="00310843" w:rsidRPr="00310843">
              <w:rPr>
                <w:b/>
                <w:noProof/>
                <w:webHidden/>
              </w:rPr>
              <w:tab/>
            </w:r>
            <w:r w:rsidR="00310843" w:rsidRPr="00310843">
              <w:rPr>
                <w:b/>
                <w:noProof/>
                <w:webHidden/>
              </w:rPr>
              <w:fldChar w:fldCharType="begin"/>
            </w:r>
            <w:r w:rsidR="00310843" w:rsidRPr="00310843">
              <w:rPr>
                <w:b/>
                <w:noProof/>
                <w:webHidden/>
              </w:rPr>
              <w:instrText xml:space="preserve"> PAGEREF _Toc527987676 \h </w:instrText>
            </w:r>
            <w:r w:rsidR="00310843" w:rsidRPr="00310843">
              <w:rPr>
                <w:b/>
                <w:noProof/>
                <w:webHidden/>
              </w:rPr>
            </w:r>
            <w:r w:rsidR="00310843" w:rsidRPr="00310843">
              <w:rPr>
                <w:b/>
                <w:noProof/>
                <w:webHidden/>
              </w:rPr>
              <w:fldChar w:fldCharType="separate"/>
            </w:r>
            <w:r w:rsidR="00310843" w:rsidRPr="00310843">
              <w:rPr>
                <w:b/>
                <w:noProof/>
                <w:webHidden/>
              </w:rPr>
              <w:t>15</w:t>
            </w:r>
            <w:r w:rsidR="00310843" w:rsidRPr="00310843">
              <w:rPr>
                <w:b/>
                <w:noProof/>
                <w:webHidden/>
              </w:rPr>
              <w:fldChar w:fldCharType="end"/>
            </w:r>
          </w:hyperlink>
        </w:p>
        <w:p w:rsidR="00310843" w:rsidRPr="00310843" w:rsidRDefault="00B50997" w:rsidP="00310843">
          <w:pPr>
            <w:tabs>
              <w:tab w:val="left" w:pos="660"/>
              <w:tab w:val="right" w:leader="dot" w:pos="8828"/>
            </w:tabs>
            <w:spacing w:after="100"/>
            <w:rPr>
              <w:rFonts w:eastAsiaTheme="minorEastAsia"/>
              <w:noProof/>
              <w:lang w:eastAsia="es-MX"/>
            </w:rPr>
          </w:pPr>
          <w:hyperlink w:anchor="_Toc527987677" w:history="1">
            <w:r w:rsidR="00310843" w:rsidRPr="00310843">
              <w:rPr>
                <w:b/>
                <w:noProof/>
                <w:color w:val="0563C1" w:themeColor="hyperlink"/>
                <w:u w:val="single"/>
              </w:rPr>
              <w:t>IV.</w:t>
            </w:r>
            <w:r w:rsidR="00310843" w:rsidRPr="00310843">
              <w:rPr>
                <w:rFonts w:eastAsiaTheme="minorEastAsia"/>
                <w:b/>
                <w:noProof/>
                <w:lang w:eastAsia="es-MX"/>
              </w:rPr>
              <w:tab/>
            </w:r>
            <w:r w:rsidR="00310843" w:rsidRPr="00310843">
              <w:rPr>
                <w:b/>
                <w:noProof/>
                <w:color w:val="0563C1" w:themeColor="hyperlink"/>
                <w:u w:val="single"/>
              </w:rPr>
              <w:t>Conclusión.</w:t>
            </w:r>
            <w:r w:rsidR="00310843" w:rsidRPr="00310843">
              <w:rPr>
                <w:b/>
                <w:noProof/>
                <w:webHidden/>
              </w:rPr>
              <w:tab/>
            </w:r>
            <w:r w:rsidR="00310843" w:rsidRPr="00310843">
              <w:rPr>
                <w:b/>
                <w:noProof/>
                <w:webHidden/>
              </w:rPr>
              <w:fldChar w:fldCharType="begin"/>
            </w:r>
            <w:r w:rsidR="00310843" w:rsidRPr="00310843">
              <w:rPr>
                <w:b/>
                <w:noProof/>
                <w:webHidden/>
              </w:rPr>
              <w:instrText xml:space="preserve"> PAGEREF _Toc527987677 \h </w:instrText>
            </w:r>
            <w:r w:rsidR="00310843" w:rsidRPr="00310843">
              <w:rPr>
                <w:b/>
                <w:noProof/>
                <w:webHidden/>
              </w:rPr>
            </w:r>
            <w:r w:rsidR="00310843" w:rsidRPr="00310843">
              <w:rPr>
                <w:b/>
                <w:noProof/>
                <w:webHidden/>
              </w:rPr>
              <w:fldChar w:fldCharType="separate"/>
            </w:r>
            <w:r w:rsidR="00310843" w:rsidRPr="00310843">
              <w:rPr>
                <w:b/>
                <w:noProof/>
                <w:webHidden/>
              </w:rPr>
              <w:t>18</w:t>
            </w:r>
            <w:r w:rsidR="00310843" w:rsidRPr="00310843">
              <w:rPr>
                <w:b/>
                <w:noProof/>
                <w:webHidden/>
              </w:rPr>
              <w:fldChar w:fldCharType="end"/>
            </w:r>
          </w:hyperlink>
        </w:p>
        <w:p w:rsidR="00310843" w:rsidRPr="00310843" w:rsidRDefault="00310843" w:rsidP="00310843">
          <w:pPr>
            <w:rPr>
              <w:rFonts w:ascii="Palatino Linotype" w:hAnsi="Palatino Linotype"/>
              <w:b/>
              <w:bCs/>
              <w:sz w:val="24"/>
              <w:szCs w:val="24"/>
              <w:lang w:val="es-ES"/>
            </w:rPr>
          </w:pPr>
          <w:r w:rsidRPr="00310843">
            <w:rPr>
              <w:rFonts w:ascii="Palatino Linotype" w:hAnsi="Palatino Linotype"/>
              <w:b/>
              <w:bCs/>
              <w:sz w:val="24"/>
              <w:szCs w:val="24"/>
              <w:lang w:val="es-ES"/>
            </w:rPr>
            <w:fldChar w:fldCharType="end"/>
          </w:r>
        </w:p>
      </w:sdtContent>
    </w:sdt>
    <w:p w:rsidR="00310843" w:rsidRPr="00310843" w:rsidRDefault="00310843" w:rsidP="00310843">
      <w:pPr>
        <w:keepNext/>
        <w:keepLines/>
        <w:spacing w:before="240" w:after="0"/>
        <w:outlineLvl w:val="0"/>
        <w:rPr>
          <w:rFonts w:ascii="Palatino Linotype" w:eastAsiaTheme="majorEastAsia" w:hAnsi="Palatino Linotype" w:cstheme="majorBidi"/>
          <w:b/>
          <w:sz w:val="24"/>
          <w:szCs w:val="32"/>
        </w:rPr>
      </w:pPr>
    </w:p>
    <w:p w:rsidR="00310843" w:rsidRPr="00310843" w:rsidRDefault="00310843" w:rsidP="00310843"/>
    <w:p w:rsidR="00310843" w:rsidRPr="00310843" w:rsidRDefault="00310843" w:rsidP="00310843">
      <w:pPr>
        <w:keepNext/>
        <w:keepLines/>
        <w:numPr>
          <w:ilvl w:val="0"/>
          <w:numId w:val="2"/>
        </w:numPr>
        <w:spacing w:before="240" w:after="0"/>
        <w:ind w:left="0" w:firstLine="0"/>
        <w:outlineLvl w:val="0"/>
        <w:rPr>
          <w:rFonts w:ascii="Palatino Linotype" w:eastAsiaTheme="majorEastAsia" w:hAnsi="Palatino Linotype" w:cstheme="majorBidi"/>
          <w:b/>
          <w:sz w:val="24"/>
          <w:szCs w:val="32"/>
        </w:rPr>
      </w:pPr>
      <w:bookmarkStart w:id="1" w:name="_Toc527987674"/>
      <w:r w:rsidRPr="00310843">
        <w:rPr>
          <w:rFonts w:ascii="Palatino Linotype" w:eastAsiaTheme="majorEastAsia" w:hAnsi="Palatino Linotype" w:cstheme="majorBidi"/>
          <w:b/>
          <w:sz w:val="24"/>
          <w:szCs w:val="32"/>
        </w:rPr>
        <w:t>Consideraciones Generales.</w:t>
      </w:r>
      <w:bookmarkEnd w:id="1"/>
    </w:p>
    <w:p w:rsidR="00310843" w:rsidRPr="00310843" w:rsidRDefault="00310843" w:rsidP="00310843"/>
    <w:p w:rsidR="00310843" w:rsidRPr="00310843" w:rsidRDefault="00310843" w:rsidP="00310843">
      <w:pPr>
        <w:numPr>
          <w:ilvl w:val="0"/>
          <w:numId w:val="1"/>
        </w:numPr>
        <w:spacing w:after="0" w:line="360" w:lineRule="auto"/>
        <w:ind w:left="0" w:firstLine="0"/>
        <w:contextualSpacing/>
        <w:jc w:val="both"/>
        <w:rPr>
          <w:rFonts w:ascii="Palatino Linotype" w:hAnsi="Palatino Linotype" w:cs="Arial"/>
          <w:b/>
          <w:sz w:val="24"/>
          <w:szCs w:val="24"/>
        </w:rPr>
      </w:pPr>
      <w:r w:rsidRPr="00310843">
        <w:rPr>
          <w:rFonts w:ascii="Palatino Linotype" w:eastAsia="Times New Roman" w:hAnsi="Palatino Linotype" w:cs="Arial"/>
          <w:sz w:val="24"/>
          <w:szCs w:val="24"/>
          <w:lang w:val="es-ES_tradnl"/>
        </w:rPr>
        <w:t xml:space="preserve">He concurrido con mi voto particular de la presente resolución emitida </w:t>
      </w:r>
      <w:r w:rsidRPr="00310843">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Pr>
          <w:rFonts w:ascii="Palatino Linotype" w:hAnsi="Palatino Linotype" w:cs="Arial"/>
          <w:sz w:val="24"/>
          <w:szCs w:val="24"/>
        </w:rPr>
        <w:t>Sé</w:t>
      </w:r>
      <w:r w:rsidR="00F0358B">
        <w:rPr>
          <w:rFonts w:ascii="Palatino Linotype" w:hAnsi="Palatino Linotype" w:cs="Arial"/>
          <w:sz w:val="24"/>
          <w:szCs w:val="24"/>
        </w:rPr>
        <w:t>p</w:t>
      </w:r>
      <w:r>
        <w:rPr>
          <w:rFonts w:ascii="Palatino Linotype" w:hAnsi="Palatino Linotype" w:cs="Arial"/>
          <w:sz w:val="24"/>
          <w:szCs w:val="24"/>
        </w:rPr>
        <w:t>tima</w:t>
      </w:r>
      <w:r w:rsidRPr="00310843">
        <w:rPr>
          <w:rFonts w:ascii="Palatino Linotype" w:hAnsi="Palatino Linotype" w:cs="Arial"/>
          <w:sz w:val="24"/>
          <w:szCs w:val="24"/>
        </w:rPr>
        <w:t xml:space="preserve"> Sesión Ordinaria celebrada el día </w:t>
      </w:r>
      <w:r>
        <w:rPr>
          <w:rFonts w:ascii="Palatino Linotype" w:hAnsi="Palatino Linotype" w:cs="Arial"/>
          <w:sz w:val="24"/>
          <w:szCs w:val="24"/>
        </w:rPr>
        <w:t>veinte (20) de febrero de dos mil diecinueve</w:t>
      </w:r>
      <w:r w:rsidRPr="00310843">
        <w:rPr>
          <w:rFonts w:ascii="Palatino Linotype" w:hAnsi="Palatino Linotype" w:cs="Arial"/>
          <w:sz w:val="24"/>
          <w:szCs w:val="24"/>
        </w:rPr>
        <w:t xml:space="preserve">, en el recurso de revisión en contra de la respuesta de la </w:t>
      </w:r>
      <w:r w:rsidRPr="00310843">
        <w:rPr>
          <w:rFonts w:ascii="Palatino Linotype" w:hAnsi="Palatino Linotype" w:cs="Arial"/>
          <w:b/>
          <w:sz w:val="24"/>
          <w:szCs w:val="24"/>
        </w:rPr>
        <w:t>Fiscalía General de Justicia del Estado de México</w:t>
      </w:r>
      <w:r w:rsidRPr="00310843">
        <w:rPr>
          <w:rFonts w:ascii="Palatino Linotype" w:hAnsi="Palatino Linotype" w:cs="Arial"/>
          <w:sz w:val="24"/>
          <w:szCs w:val="24"/>
        </w:rPr>
        <w:t xml:space="preserve">, procedimiento al que se le asignó el número de expediente </w:t>
      </w:r>
      <w:r w:rsidRPr="00310843">
        <w:rPr>
          <w:rFonts w:ascii="Palatino Linotype" w:hAnsi="Palatino Linotype" w:cs="Arial"/>
          <w:b/>
          <w:bCs/>
          <w:sz w:val="24"/>
          <w:szCs w:val="24"/>
        </w:rPr>
        <w:t>0</w:t>
      </w:r>
      <w:r>
        <w:rPr>
          <w:rFonts w:ascii="Palatino Linotype" w:hAnsi="Palatino Linotype" w:cs="Arial"/>
          <w:b/>
          <w:bCs/>
          <w:sz w:val="24"/>
          <w:szCs w:val="24"/>
        </w:rPr>
        <w:t>00</w:t>
      </w:r>
      <w:r w:rsidRPr="00310843">
        <w:rPr>
          <w:rFonts w:ascii="Palatino Linotype" w:hAnsi="Palatino Linotype" w:cs="Arial"/>
          <w:b/>
          <w:bCs/>
          <w:sz w:val="24"/>
          <w:szCs w:val="24"/>
        </w:rPr>
        <w:t>22/INFOEM/IP/RR/201</w:t>
      </w:r>
      <w:r>
        <w:rPr>
          <w:rFonts w:ascii="Palatino Linotype" w:hAnsi="Palatino Linotype" w:cs="Arial"/>
          <w:b/>
          <w:bCs/>
          <w:sz w:val="24"/>
          <w:szCs w:val="24"/>
        </w:rPr>
        <w:t>9</w:t>
      </w:r>
      <w:r w:rsidRPr="00310843">
        <w:rPr>
          <w:rFonts w:ascii="Palatino Linotype" w:hAnsi="Palatino Linotype" w:cs="Arial"/>
          <w:b/>
          <w:bCs/>
          <w:sz w:val="24"/>
          <w:szCs w:val="24"/>
        </w:rPr>
        <w:t>.</w:t>
      </w:r>
    </w:p>
    <w:p w:rsidR="00310843" w:rsidRPr="00310843" w:rsidRDefault="00310843" w:rsidP="00310843">
      <w:pPr>
        <w:spacing w:after="0" w:line="360" w:lineRule="auto"/>
        <w:contextualSpacing/>
        <w:jc w:val="both"/>
        <w:rPr>
          <w:rFonts w:ascii="Palatino Linotype" w:hAnsi="Palatino Linotype" w:cs="Arial"/>
          <w:b/>
          <w:sz w:val="24"/>
          <w:szCs w:val="24"/>
        </w:rPr>
      </w:pPr>
    </w:p>
    <w:p w:rsidR="00310843" w:rsidRPr="00310843" w:rsidRDefault="00310843" w:rsidP="00310843">
      <w:pPr>
        <w:spacing w:after="0" w:line="360" w:lineRule="auto"/>
        <w:contextualSpacing/>
        <w:jc w:val="both"/>
        <w:rPr>
          <w:rFonts w:ascii="Palatino Linotype" w:hAnsi="Palatino Linotype" w:cs="Arial"/>
          <w:b/>
          <w:sz w:val="24"/>
          <w:szCs w:val="24"/>
        </w:rPr>
      </w:pPr>
    </w:p>
    <w:p w:rsidR="00310843" w:rsidRPr="00310843" w:rsidRDefault="00310843" w:rsidP="00310843">
      <w:pPr>
        <w:numPr>
          <w:ilvl w:val="0"/>
          <w:numId w:val="1"/>
        </w:numPr>
        <w:spacing w:after="0" w:line="360" w:lineRule="auto"/>
        <w:ind w:left="0" w:firstLine="0"/>
        <w:contextualSpacing/>
        <w:jc w:val="both"/>
        <w:rPr>
          <w:rFonts w:ascii="Palatino Linotype" w:hAnsi="Palatino Linotype" w:cs="Arial"/>
          <w:sz w:val="24"/>
          <w:szCs w:val="24"/>
        </w:rPr>
      </w:pPr>
      <w:r w:rsidRPr="00310843">
        <w:rPr>
          <w:rFonts w:ascii="Palatino Linotype" w:hAnsi="Palatino Linotype" w:cs="Arial"/>
          <w:sz w:val="24"/>
          <w:szCs w:val="24"/>
        </w:rPr>
        <w:t xml:space="preserve">La resolución puntualmente determina </w:t>
      </w:r>
      <w:r w:rsidRPr="00310843">
        <w:rPr>
          <w:rFonts w:ascii="Palatino Linotype" w:hAnsi="Palatino Linotype" w:cs="Arial"/>
          <w:b/>
          <w:sz w:val="24"/>
          <w:szCs w:val="24"/>
        </w:rPr>
        <w:t xml:space="preserve">CONFIRMAR </w:t>
      </w:r>
      <w:r w:rsidRPr="00310843">
        <w:rPr>
          <w:rFonts w:ascii="Palatino Linotype" w:hAnsi="Palatino Linotype" w:cs="Arial"/>
          <w:sz w:val="24"/>
          <w:szCs w:val="24"/>
        </w:rPr>
        <w:t>el recurso de revisión, en términos del Considerando</w:t>
      </w:r>
      <w:r w:rsidRPr="00310843">
        <w:rPr>
          <w:rFonts w:ascii="Palatino Linotype" w:hAnsi="Palatino Linotype" w:cs="Arial"/>
          <w:b/>
          <w:sz w:val="24"/>
          <w:szCs w:val="24"/>
        </w:rPr>
        <w:t xml:space="preserve"> QUINTO.</w:t>
      </w:r>
    </w:p>
    <w:p w:rsidR="00310843" w:rsidRPr="00310843" w:rsidRDefault="00310843" w:rsidP="00310843">
      <w:pPr>
        <w:spacing w:after="0" w:line="360" w:lineRule="auto"/>
        <w:contextualSpacing/>
        <w:jc w:val="both"/>
        <w:rPr>
          <w:rFonts w:ascii="Palatino Linotype" w:hAnsi="Palatino Linotype" w:cs="Arial"/>
          <w:sz w:val="24"/>
          <w:szCs w:val="24"/>
        </w:rPr>
      </w:pPr>
    </w:p>
    <w:p w:rsidR="00310843" w:rsidRPr="00310843" w:rsidRDefault="00310843" w:rsidP="00310843">
      <w:pPr>
        <w:numPr>
          <w:ilvl w:val="0"/>
          <w:numId w:val="1"/>
        </w:numPr>
        <w:spacing w:after="0" w:line="360" w:lineRule="auto"/>
        <w:ind w:left="0" w:firstLine="0"/>
        <w:contextualSpacing/>
        <w:jc w:val="both"/>
        <w:rPr>
          <w:rFonts w:ascii="Palatino Linotype" w:hAnsi="Palatino Linotype" w:cs="Arial"/>
          <w:sz w:val="24"/>
          <w:szCs w:val="24"/>
        </w:rPr>
      </w:pPr>
      <w:r w:rsidRPr="00310843">
        <w:rPr>
          <w:rFonts w:ascii="Palatino Linotype" w:hAnsi="Palatino Linotype" w:cs="Arial"/>
          <w:sz w:val="24"/>
          <w:szCs w:val="24"/>
        </w:rPr>
        <w:lastRenderedPageBreak/>
        <w:t xml:space="preserve">Por tal motivo y en términos de lo señalado por el artículo 14 fracción XI del Reglamento Interior del Instituto de Transparencia y Acceso a la Información Pública del Estado de México y Municipios formulo la presente voto particular. </w:t>
      </w:r>
    </w:p>
    <w:p w:rsidR="00310843" w:rsidRPr="00310843" w:rsidRDefault="00310843" w:rsidP="00310843">
      <w:pPr>
        <w:contextualSpacing/>
        <w:rPr>
          <w:rFonts w:ascii="Palatino Linotype" w:hAnsi="Palatino Linotype" w:cs="Arial"/>
          <w:sz w:val="24"/>
          <w:szCs w:val="24"/>
        </w:rPr>
      </w:pPr>
    </w:p>
    <w:p w:rsidR="00310843" w:rsidRPr="00310843" w:rsidRDefault="00310843" w:rsidP="00310843">
      <w:pPr>
        <w:keepNext/>
        <w:keepLines/>
        <w:numPr>
          <w:ilvl w:val="0"/>
          <w:numId w:val="2"/>
        </w:numPr>
        <w:spacing w:before="240" w:after="0"/>
        <w:ind w:left="0" w:firstLine="0"/>
        <w:outlineLvl w:val="0"/>
        <w:rPr>
          <w:rFonts w:ascii="Palatino Linotype" w:eastAsiaTheme="majorEastAsia" w:hAnsi="Palatino Linotype" w:cstheme="majorBidi"/>
          <w:b/>
          <w:sz w:val="24"/>
          <w:szCs w:val="32"/>
        </w:rPr>
      </w:pPr>
      <w:bookmarkStart w:id="2" w:name="_Toc527987675"/>
      <w:r w:rsidRPr="00310843">
        <w:rPr>
          <w:rFonts w:ascii="Palatino Linotype" w:eastAsiaTheme="majorEastAsia" w:hAnsi="Palatino Linotype" w:cstheme="majorBidi"/>
          <w:b/>
          <w:sz w:val="24"/>
          <w:szCs w:val="32"/>
        </w:rPr>
        <w:t>Del Procedimiento de Acceso a la Información Pública.</w:t>
      </w:r>
      <w:bookmarkEnd w:id="2"/>
    </w:p>
    <w:p w:rsidR="00310843" w:rsidRPr="00310843" w:rsidRDefault="00310843" w:rsidP="00310843"/>
    <w:p w:rsidR="00310843" w:rsidRPr="00310843" w:rsidRDefault="00310843" w:rsidP="00310843">
      <w:pPr>
        <w:numPr>
          <w:ilvl w:val="0"/>
          <w:numId w:val="1"/>
        </w:numPr>
        <w:spacing w:before="240" w:after="240" w:line="360" w:lineRule="auto"/>
        <w:ind w:left="0" w:firstLine="0"/>
        <w:contextualSpacing/>
        <w:jc w:val="both"/>
        <w:rPr>
          <w:rFonts w:ascii="Palatino Linotype" w:hAnsi="Palatino Linotype" w:cs="Arial"/>
          <w:sz w:val="24"/>
          <w:szCs w:val="24"/>
        </w:rPr>
      </w:pPr>
      <w:r w:rsidRPr="00310843">
        <w:rPr>
          <w:rFonts w:ascii="Palatino Linotype" w:hAnsi="Palatino Linotype" w:cs="Arial"/>
          <w:sz w:val="24"/>
          <w:szCs w:val="24"/>
        </w:rPr>
        <w:t xml:space="preserve">En primer lugar, todo </w:t>
      </w:r>
      <w:r w:rsidRPr="00310843">
        <w:rPr>
          <w:rFonts w:ascii="Palatino Linotype" w:hAnsi="Palatino Linotype" w:cs="Arial"/>
          <w:b/>
          <w:sz w:val="24"/>
          <w:szCs w:val="24"/>
        </w:rPr>
        <w:t xml:space="preserve">SUJETO OBLIGADO, </w:t>
      </w:r>
      <w:r w:rsidRPr="00310843">
        <w:rPr>
          <w:rFonts w:ascii="Palatino Linotype" w:hAnsi="Palatino Linotype" w:cs="Arial"/>
          <w:sz w:val="24"/>
          <w:szCs w:val="24"/>
        </w:rPr>
        <w:t xml:space="preserve">debe tener presente que la </w:t>
      </w:r>
      <w:r w:rsidRPr="00310843">
        <w:rPr>
          <w:rFonts w:ascii="Palatino Linotype" w:hAnsi="Palatino Linotype" w:cs="Arial"/>
          <w:b/>
          <w:sz w:val="24"/>
          <w:szCs w:val="24"/>
        </w:rPr>
        <w:t xml:space="preserve">Ley de Transparencia y Acceso a la Información Pública del Estado de México y Municipios, </w:t>
      </w:r>
      <w:r w:rsidRPr="00310843">
        <w:rPr>
          <w:rFonts w:ascii="Palatino Linotype" w:hAnsi="Palatino Linotype" w:cs="Arial"/>
          <w:sz w:val="24"/>
          <w:szCs w:val="24"/>
        </w:rPr>
        <w:t xml:space="preserve">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sustanciares de manera sencilla y expedita propiciando las condiciones para el acceso, entrega y publicación de información. </w:t>
      </w:r>
    </w:p>
    <w:p w:rsidR="00310843" w:rsidRPr="00310843" w:rsidRDefault="00310843" w:rsidP="00310843">
      <w:pPr>
        <w:spacing w:before="240" w:after="240" w:line="360" w:lineRule="auto"/>
        <w:contextualSpacing/>
        <w:jc w:val="both"/>
        <w:rPr>
          <w:rFonts w:ascii="Palatino Linotype" w:hAnsi="Palatino Linotype" w:cs="Arial"/>
          <w:sz w:val="24"/>
          <w:szCs w:val="24"/>
        </w:rPr>
      </w:pPr>
    </w:p>
    <w:p w:rsidR="00310843" w:rsidRDefault="00310843" w:rsidP="00310843">
      <w:pPr>
        <w:numPr>
          <w:ilvl w:val="0"/>
          <w:numId w:val="1"/>
        </w:numPr>
        <w:spacing w:before="240" w:after="24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El recurrente </w:t>
      </w:r>
      <w:r w:rsidRPr="00310843">
        <w:rPr>
          <w:rFonts w:ascii="Palatino Linotype" w:hAnsi="Palatino Linotype" w:cs="Arial"/>
          <w:sz w:val="24"/>
          <w:szCs w:val="24"/>
        </w:rPr>
        <w:t xml:space="preserve">solicitó al Sujeto Obligado lo siguiente: </w:t>
      </w:r>
    </w:p>
    <w:p w:rsidR="00310843" w:rsidRDefault="00310843" w:rsidP="00310843">
      <w:pPr>
        <w:ind w:left="567" w:right="616"/>
        <w:contextualSpacing/>
        <w:rPr>
          <w:rFonts w:ascii="Palatino Linotype" w:hAnsi="Palatino Linotype" w:cs="Arial"/>
          <w:i/>
          <w:sz w:val="24"/>
          <w:szCs w:val="24"/>
        </w:rPr>
      </w:pPr>
    </w:p>
    <w:p w:rsidR="00310843" w:rsidRPr="00310843" w:rsidRDefault="00310843" w:rsidP="00310843">
      <w:pPr>
        <w:ind w:left="567" w:right="616"/>
        <w:contextualSpacing/>
        <w:rPr>
          <w:rFonts w:ascii="Palatino Linotype" w:hAnsi="Palatino Linotype" w:cs="Arial"/>
          <w:sz w:val="24"/>
          <w:szCs w:val="24"/>
        </w:rPr>
      </w:pPr>
      <w:r w:rsidRPr="00310843">
        <w:rPr>
          <w:rFonts w:ascii="Palatino Linotype" w:hAnsi="Palatino Linotype" w:cs="Arial"/>
          <w:i/>
          <w:sz w:val="24"/>
          <w:szCs w:val="24"/>
        </w:rPr>
        <w:t>“Solicito por este medio me sea enviado el informe anual de actividades del año 2017 que genera la fiscalía especializada en combate a la corrupción.” (Sic).</w:t>
      </w:r>
    </w:p>
    <w:p w:rsidR="00310843" w:rsidRPr="00310843" w:rsidRDefault="00310843" w:rsidP="00310843">
      <w:pPr>
        <w:spacing w:before="240" w:after="240" w:line="360" w:lineRule="auto"/>
        <w:ind w:left="567" w:right="616"/>
        <w:contextualSpacing/>
        <w:jc w:val="both"/>
        <w:rPr>
          <w:rFonts w:ascii="Palatino Linotype" w:hAnsi="Palatino Linotype" w:cs="Arial"/>
          <w:sz w:val="24"/>
          <w:szCs w:val="24"/>
        </w:rPr>
      </w:pPr>
    </w:p>
    <w:p w:rsidR="005F4140" w:rsidRDefault="00310843" w:rsidP="005F4140">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sz w:val="24"/>
          <w:szCs w:val="24"/>
          <w:lang w:val="es-ES"/>
        </w:rPr>
      </w:pPr>
      <w:r w:rsidRPr="00310843">
        <w:rPr>
          <w:rFonts w:ascii="Palatino Linotype" w:hAnsi="Palatino Linotype" w:cs="Arial"/>
          <w:sz w:val="24"/>
          <w:szCs w:val="24"/>
        </w:rPr>
        <w:t>El Sujeto Oblig</w:t>
      </w:r>
      <w:r>
        <w:rPr>
          <w:rFonts w:ascii="Palatino Linotype" w:hAnsi="Palatino Linotype" w:cs="Arial"/>
          <w:sz w:val="24"/>
          <w:szCs w:val="24"/>
        </w:rPr>
        <w:t>ado en su respuesta refirió en términos generales que no contaba con la información requerida resultándole imposible atender la solicitud, lo anterior en razón d</w:t>
      </w:r>
      <w:r w:rsidR="005F4140">
        <w:rPr>
          <w:rFonts w:ascii="Palatino Linotype" w:hAnsi="Palatino Linotype" w:cs="Arial"/>
          <w:sz w:val="24"/>
          <w:szCs w:val="24"/>
        </w:rPr>
        <w:t xml:space="preserve">e lo contenido en el Acuerdo número 10/2017 </w:t>
      </w:r>
      <w:r w:rsidR="005F4140" w:rsidRPr="005F4140">
        <w:rPr>
          <w:rFonts w:ascii="Palatino Linotype" w:hAnsi="Palatino Linotype" w:cs="Arial"/>
          <w:sz w:val="24"/>
          <w:szCs w:val="24"/>
        </w:rPr>
        <w:t xml:space="preserve">emitido por la </w:t>
      </w:r>
      <w:r w:rsidR="005F4140" w:rsidRPr="005F4140">
        <w:rPr>
          <w:rFonts w:ascii="Palatino Linotype" w:hAnsi="Palatino Linotype" w:cs="Arial"/>
          <w:sz w:val="24"/>
          <w:szCs w:val="24"/>
        </w:rPr>
        <w:lastRenderedPageBreak/>
        <w:t>Fiscalía General de Justicia del Estado de México en fecha 7 de julio de 2017 mediante el cual se crea la Fiscalía Especializada.</w:t>
      </w:r>
    </w:p>
    <w:p w:rsidR="005F4140" w:rsidRDefault="005F4140" w:rsidP="005F4140">
      <w:pPr>
        <w:widowControl w:val="0"/>
        <w:autoSpaceDE w:val="0"/>
        <w:autoSpaceDN w:val="0"/>
        <w:adjustRightInd w:val="0"/>
        <w:spacing w:before="240" w:after="240" w:line="360" w:lineRule="auto"/>
        <w:contextualSpacing/>
        <w:jc w:val="both"/>
        <w:rPr>
          <w:rFonts w:ascii="Palatino Linotype" w:hAnsi="Palatino Linotype" w:cs="Arial"/>
          <w:sz w:val="24"/>
          <w:szCs w:val="24"/>
          <w:lang w:val="es-ES"/>
        </w:rPr>
      </w:pPr>
    </w:p>
    <w:p w:rsidR="005F4140" w:rsidRPr="005F4140" w:rsidRDefault="005F4140" w:rsidP="005F4140">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sz w:val="24"/>
          <w:szCs w:val="24"/>
          <w:lang w:val="es-ES"/>
        </w:rPr>
      </w:pPr>
      <w:r w:rsidRPr="005F4140">
        <w:rPr>
          <w:rFonts w:ascii="Palatino Linotype" w:hAnsi="Palatino Linotype" w:cs="Arial"/>
          <w:sz w:val="24"/>
          <w:szCs w:val="24"/>
          <w:lang w:val="es-ES"/>
        </w:rPr>
        <w:t xml:space="preserve">Estando en tiempo y forma el </w:t>
      </w:r>
      <w:r w:rsidRPr="005F4140">
        <w:rPr>
          <w:rFonts w:ascii="Palatino Linotype" w:hAnsi="Palatino Linotype" w:cs="Arial"/>
          <w:b/>
          <w:sz w:val="24"/>
          <w:szCs w:val="24"/>
          <w:lang w:val="es-ES"/>
        </w:rPr>
        <w:t>SUJETO OBLIGADO</w:t>
      </w:r>
      <w:r w:rsidRPr="005F4140">
        <w:rPr>
          <w:rFonts w:ascii="Palatino Linotype" w:hAnsi="Palatino Linotype" w:cs="Arial"/>
          <w:sz w:val="24"/>
          <w:szCs w:val="24"/>
          <w:lang w:val="es-ES"/>
        </w:rPr>
        <w:t xml:space="preserve"> presentó su respectivo informe justificado mediante el cual ratificó su respuesta. Luego Comisionada Ponente en su estudio y análisis para el análisis de su resolución argumentó que </w:t>
      </w:r>
      <w:r w:rsidRPr="005F4140">
        <w:rPr>
          <w:rFonts w:ascii="Palatino Linotype" w:eastAsia="Times New Roman" w:hAnsi="Palatino Linotype" w:cs="Arial"/>
          <w:sz w:val="24"/>
          <w:szCs w:val="24"/>
          <w:lang w:eastAsia="es-ES"/>
        </w:rPr>
        <w:t>no se trata de un caso por el cual la negación de los hechos implique la afirmación de los mismos, simplemente se está ante una notoria y evidente inexistencia fáctica de la información solicitada.</w:t>
      </w:r>
    </w:p>
    <w:p w:rsidR="00E27D45" w:rsidRDefault="00E27D45" w:rsidP="00E27D45">
      <w:pPr>
        <w:widowControl w:val="0"/>
        <w:autoSpaceDE w:val="0"/>
        <w:autoSpaceDN w:val="0"/>
        <w:adjustRightInd w:val="0"/>
        <w:spacing w:before="240" w:after="240" w:line="360" w:lineRule="auto"/>
        <w:contextualSpacing/>
        <w:jc w:val="both"/>
        <w:rPr>
          <w:rFonts w:ascii="Palatino Linotype" w:hAnsi="Palatino Linotype" w:cs="Arial"/>
          <w:sz w:val="24"/>
          <w:szCs w:val="24"/>
          <w:lang w:val="es-ES"/>
        </w:rPr>
      </w:pPr>
    </w:p>
    <w:p w:rsidR="005F4140" w:rsidRPr="00E27D45" w:rsidRDefault="005F4140" w:rsidP="005F4140">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sz w:val="24"/>
          <w:szCs w:val="24"/>
          <w:lang w:val="es-ES"/>
        </w:rPr>
      </w:pPr>
      <w:r>
        <w:rPr>
          <w:rFonts w:ascii="Palatino Linotype" w:hAnsi="Palatino Linotype" w:cs="Arial"/>
          <w:sz w:val="24"/>
          <w:szCs w:val="24"/>
          <w:lang w:val="es-ES"/>
        </w:rPr>
        <w:t>La ponencia Resolutora argumento que</w:t>
      </w:r>
      <w:r w:rsidRPr="005F4140">
        <w:rPr>
          <w:rFonts w:ascii="Palatino Linotype" w:hAnsi="Palatino Linotype" w:cs="Arial"/>
          <w:sz w:val="24"/>
          <w:szCs w:val="24"/>
          <w:lang w:val="es-ES"/>
        </w:rPr>
        <w:t xml:space="preserve"> ante la presencia de un hecho negativo, resultaría innecesaria una declaratoria de inexistencia en términos de los artículos 19, 169 y 170 de la Ley de Transparencia y Acceso a la Información Pública del Estado de México y Municipios</w:t>
      </w:r>
      <w:r w:rsidR="00E27D45">
        <w:rPr>
          <w:rFonts w:ascii="Palatino Linotype" w:hAnsi="Palatino Linotype" w:cs="Arial"/>
        </w:rPr>
        <w:t>.</w:t>
      </w:r>
    </w:p>
    <w:p w:rsidR="00E27D45" w:rsidRDefault="00E27D45" w:rsidP="00E27D45">
      <w:pPr>
        <w:widowControl w:val="0"/>
        <w:autoSpaceDE w:val="0"/>
        <w:autoSpaceDN w:val="0"/>
        <w:adjustRightInd w:val="0"/>
        <w:spacing w:before="240" w:after="240" w:line="360" w:lineRule="auto"/>
        <w:contextualSpacing/>
        <w:jc w:val="both"/>
        <w:rPr>
          <w:rFonts w:ascii="Palatino Linotype" w:hAnsi="Palatino Linotype" w:cs="Arial"/>
          <w:sz w:val="24"/>
          <w:szCs w:val="24"/>
          <w:lang w:val="es-ES"/>
        </w:rPr>
      </w:pPr>
    </w:p>
    <w:p w:rsidR="00E27D45" w:rsidRDefault="00E27D45" w:rsidP="005F4140">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sz w:val="24"/>
          <w:szCs w:val="24"/>
          <w:lang w:val="es-ES"/>
        </w:rPr>
      </w:pPr>
      <w:r>
        <w:rPr>
          <w:rFonts w:ascii="Palatino Linotype" w:hAnsi="Palatino Linotype" w:cs="Arial"/>
          <w:sz w:val="24"/>
          <w:szCs w:val="24"/>
          <w:lang w:val="es-ES"/>
        </w:rPr>
        <w:t xml:space="preserve">Por lo que se concluyó que </w:t>
      </w:r>
      <w:r w:rsidRPr="00E27D45">
        <w:rPr>
          <w:rFonts w:ascii="Palatino Linotype" w:hAnsi="Palatino Linotype" w:cs="Arial"/>
          <w:b/>
          <w:sz w:val="24"/>
          <w:szCs w:val="24"/>
          <w:lang w:val="es-ES"/>
        </w:rPr>
        <w:t>EL SUJETO OBLIGADO</w:t>
      </w:r>
      <w:r w:rsidRPr="00E27D45">
        <w:rPr>
          <w:rFonts w:ascii="Palatino Linotype" w:hAnsi="Palatino Linotype" w:cs="Arial"/>
          <w:sz w:val="24"/>
          <w:szCs w:val="24"/>
          <w:lang w:val="es-ES"/>
        </w:rPr>
        <w:t xml:space="preserve"> atendió el medio de impugnación en estudio privilegiando el principio de máxima publicidad y le señaló </w:t>
      </w:r>
      <w:r>
        <w:rPr>
          <w:rFonts w:ascii="Palatino Linotype" w:hAnsi="Palatino Linotype" w:cs="Arial"/>
          <w:sz w:val="24"/>
          <w:szCs w:val="24"/>
          <w:lang w:val="es-ES"/>
        </w:rPr>
        <w:t>que el</w:t>
      </w:r>
      <w:r w:rsidRPr="00E27D45">
        <w:rPr>
          <w:rFonts w:ascii="Palatino Linotype" w:hAnsi="Palatino Linotype" w:cs="Arial"/>
          <w:sz w:val="24"/>
          <w:szCs w:val="24"/>
          <w:lang w:val="es-ES"/>
        </w:rPr>
        <w:t xml:space="preserve"> RECURRENTE que derivado del Acuerdo número 10/2017, emitido por el Fiscal General de Justicia del Estado de México, en fecha 7 de julio de 2017, se creó la Fiscalía Especializada en Combate a la Corrupción,  impide materialmente que </w:t>
      </w:r>
      <w:r>
        <w:rPr>
          <w:rFonts w:ascii="Palatino Linotype" w:hAnsi="Palatino Linotype" w:cs="Arial"/>
          <w:sz w:val="24"/>
          <w:szCs w:val="24"/>
          <w:lang w:val="es-ES"/>
        </w:rPr>
        <w:t>el</w:t>
      </w:r>
      <w:r w:rsidRPr="00E27D45">
        <w:rPr>
          <w:rFonts w:ascii="Palatino Linotype" w:hAnsi="Palatino Linotype" w:cs="Arial"/>
          <w:sz w:val="24"/>
          <w:szCs w:val="24"/>
          <w:lang w:val="es-ES"/>
        </w:rPr>
        <w:t xml:space="preserve"> Sujeto Obligado cuente con un Informe Anual de 2017 de dicha Fiscalía; por lo que, al haber realizado un pronunciamiento, este Instituto no está facultado para </w:t>
      </w:r>
      <w:r w:rsidRPr="00E27D45">
        <w:rPr>
          <w:rFonts w:ascii="Palatino Linotype" w:hAnsi="Palatino Linotype" w:cs="Arial"/>
          <w:sz w:val="24"/>
          <w:szCs w:val="24"/>
          <w:lang w:val="es-ES"/>
        </w:rPr>
        <w:lastRenderedPageBreak/>
        <w:t>manifestarse sobre la veracidad del mismo, pues no existe precepto legal alguno en la Ley de la materia que lo faculte para, vía recurso de revisión, pronunciarse al respecto</w:t>
      </w:r>
      <w:r>
        <w:rPr>
          <w:rFonts w:ascii="Palatino Linotype" w:hAnsi="Palatino Linotype" w:cs="Arial"/>
          <w:sz w:val="24"/>
          <w:szCs w:val="24"/>
          <w:lang w:val="es-ES"/>
        </w:rPr>
        <w:t>.</w:t>
      </w:r>
    </w:p>
    <w:p w:rsidR="00E27D45" w:rsidRDefault="00E27D45" w:rsidP="00E27D45">
      <w:pPr>
        <w:widowControl w:val="0"/>
        <w:autoSpaceDE w:val="0"/>
        <w:autoSpaceDN w:val="0"/>
        <w:adjustRightInd w:val="0"/>
        <w:spacing w:before="240" w:after="240" w:line="360" w:lineRule="auto"/>
        <w:contextualSpacing/>
        <w:jc w:val="both"/>
        <w:rPr>
          <w:rFonts w:ascii="Palatino Linotype" w:hAnsi="Palatino Linotype" w:cs="Arial"/>
          <w:sz w:val="24"/>
          <w:szCs w:val="24"/>
          <w:lang w:val="es-ES"/>
        </w:rPr>
      </w:pPr>
    </w:p>
    <w:p w:rsidR="00E27D45" w:rsidRDefault="00E27D45" w:rsidP="00E27D45">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sz w:val="24"/>
          <w:szCs w:val="24"/>
          <w:lang w:val="es-ES"/>
        </w:rPr>
      </w:pPr>
      <w:r>
        <w:rPr>
          <w:rFonts w:ascii="Palatino Linotype" w:hAnsi="Palatino Linotype" w:cs="Arial"/>
          <w:sz w:val="24"/>
          <w:szCs w:val="24"/>
          <w:lang w:val="es-ES"/>
        </w:rPr>
        <w:t>De lo anteriormente la</w:t>
      </w:r>
      <w:r w:rsidRPr="00E27D45">
        <w:rPr>
          <w:rFonts w:ascii="Palatino Linotype" w:hAnsi="Palatino Linotype" w:cs="Arial"/>
          <w:sz w:val="24"/>
          <w:szCs w:val="24"/>
          <w:lang w:val="es-ES"/>
        </w:rPr>
        <w:t xml:space="preserve"> Ponencia Resolutora tuvo a bien inspeccionar el portal electrónico del </w:t>
      </w:r>
      <w:r w:rsidRPr="00E27D45">
        <w:rPr>
          <w:rFonts w:ascii="Palatino Linotype" w:hAnsi="Palatino Linotype" w:cs="Arial"/>
          <w:b/>
          <w:sz w:val="24"/>
          <w:szCs w:val="24"/>
          <w:lang w:val="es-ES"/>
        </w:rPr>
        <w:t>SUJETO OBLIGADO</w:t>
      </w:r>
      <w:r w:rsidRPr="00E27D45">
        <w:rPr>
          <w:rFonts w:ascii="Palatino Linotype" w:hAnsi="Palatino Linotype" w:cs="Arial"/>
          <w:sz w:val="24"/>
          <w:szCs w:val="24"/>
          <w:lang w:val="es-ES"/>
        </w:rPr>
        <w:t xml:space="preserve"> obteniendo como resultado el contendió del Informe de Gestión de la Fiscalía General de Justicia del Estado de los meses de abril de 2017 a marzo de 2018</w:t>
      </w:r>
      <w:r>
        <w:rPr>
          <w:rFonts w:ascii="Palatino Linotype" w:hAnsi="Palatino Linotype" w:cs="Arial"/>
          <w:sz w:val="24"/>
          <w:szCs w:val="24"/>
          <w:lang w:val="es-ES"/>
        </w:rPr>
        <w:t>; en donde se confirma los hechos vertidos en la respuesta y lo que se traduce como una suplencia en la respuesta.</w:t>
      </w:r>
    </w:p>
    <w:p w:rsidR="00E27D45" w:rsidRDefault="00E27D45" w:rsidP="00E27D45">
      <w:pPr>
        <w:pStyle w:val="Prrafodelista"/>
        <w:rPr>
          <w:rFonts w:ascii="Palatino Linotype" w:hAnsi="Palatino Linotype" w:cs="Arial"/>
          <w:sz w:val="24"/>
          <w:szCs w:val="20"/>
        </w:rPr>
      </w:pPr>
    </w:p>
    <w:p w:rsidR="00E27D45" w:rsidRPr="00E27D45" w:rsidRDefault="00310843" w:rsidP="00E27D45">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sz w:val="24"/>
          <w:szCs w:val="20"/>
        </w:rPr>
      </w:pPr>
      <w:r w:rsidRPr="00310843">
        <w:rPr>
          <w:rFonts w:ascii="Palatino Linotype" w:hAnsi="Palatino Linotype" w:cs="Arial"/>
          <w:sz w:val="24"/>
          <w:szCs w:val="20"/>
        </w:rPr>
        <w:t xml:space="preserve">Tal y como se aprecia, la Ponencia resolutora en el cuerpo del proyecto hizo de conocimiento a la parte recurrente que la información </w:t>
      </w:r>
      <w:r w:rsidR="00E27D45">
        <w:rPr>
          <w:rFonts w:ascii="Palatino Linotype" w:hAnsi="Palatino Linotype" w:cs="Arial"/>
          <w:sz w:val="24"/>
          <w:szCs w:val="20"/>
        </w:rPr>
        <w:t xml:space="preserve">solicitada </w:t>
      </w:r>
      <w:r w:rsidR="00E27D45" w:rsidRPr="00E27D45">
        <w:rPr>
          <w:rFonts w:ascii="Palatino Linotype" w:hAnsi="Palatino Linotype" w:cs="Arial"/>
          <w:sz w:val="24"/>
          <w:szCs w:val="20"/>
        </w:rPr>
        <w:t>no podía ser entregada ya que la Fiscalía Especializad</w:t>
      </w:r>
      <w:r w:rsidR="00E27D45">
        <w:rPr>
          <w:rFonts w:ascii="Palatino Linotype" w:hAnsi="Palatino Linotype" w:cs="Arial"/>
          <w:sz w:val="24"/>
          <w:szCs w:val="20"/>
        </w:rPr>
        <w:t>a</w:t>
      </w:r>
      <w:r w:rsidR="00E27D45" w:rsidRPr="00E27D45">
        <w:rPr>
          <w:rFonts w:ascii="Palatino Linotype" w:hAnsi="Palatino Linotype" w:cs="Arial"/>
          <w:sz w:val="24"/>
          <w:szCs w:val="20"/>
        </w:rPr>
        <w:t xml:space="preserve"> en Combate a la Corrupción en el año 2017 no contaba con un Informe Anual de actividades al haberse creado en ese mismo año</w:t>
      </w:r>
      <w:r w:rsidR="00E27D45">
        <w:rPr>
          <w:rFonts w:ascii="Palatino Linotype" w:hAnsi="Palatino Linotype" w:cs="Arial"/>
          <w:sz w:val="24"/>
          <w:szCs w:val="20"/>
        </w:rPr>
        <w:t>.</w:t>
      </w:r>
    </w:p>
    <w:p w:rsidR="00310843" w:rsidRPr="00310843" w:rsidRDefault="00310843" w:rsidP="00310843">
      <w:pPr>
        <w:spacing w:before="120" w:after="120" w:line="360" w:lineRule="auto"/>
        <w:ind w:right="616"/>
        <w:contextualSpacing/>
        <w:jc w:val="both"/>
        <w:rPr>
          <w:rFonts w:ascii="Palatino Linotype" w:hAnsi="Palatino Linotype" w:cs="Arial"/>
          <w:sz w:val="24"/>
          <w:szCs w:val="20"/>
        </w:rPr>
      </w:pPr>
    </w:p>
    <w:p w:rsidR="00310843" w:rsidRPr="00310843" w:rsidRDefault="00310843" w:rsidP="00310843">
      <w:pPr>
        <w:keepNext/>
        <w:keepLines/>
        <w:numPr>
          <w:ilvl w:val="0"/>
          <w:numId w:val="2"/>
        </w:numPr>
        <w:spacing w:before="240" w:after="0"/>
        <w:ind w:left="0" w:firstLine="0"/>
        <w:outlineLvl w:val="0"/>
        <w:rPr>
          <w:rFonts w:ascii="Palatino Linotype" w:eastAsiaTheme="majorEastAsia" w:hAnsi="Palatino Linotype" w:cstheme="majorBidi"/>
          <w:b/>
          <w:sz w:val="24"/>
          <w:szCs w:val="32"/>
        </w:rPr>
      </w:pPr>
      <w:bookmarkStart w:id="3" w:name="_Toc527987676"/>
      <w:r w:rsidRPr="00310843">
        <w:rPr>
          <w:rFonts w:ascii="Palatino Linotype" w:eastAsiaTheme="majorEastAsia" w:hAnsi="Palatino Linotype" w:cstheme="majorBidi"/>
          <w:b/>
          <w:sz w:val="24"/>
          <w:szCs w:val="32"/>
        </w:rPr>
        <w:t>De la Suplencia al Procedimiento de Acceso a la Información Pública.</w:t>
      </w:r>
      <w:bookmarkEnd w:id="3"/>
    </w:p>
    <w:p w:rsidR="00310843" w:rsidRPr="00310843" w:rsidRDefault="00310843" w:rsidP="00310843">
      <w:pPr>
        <w:spacing w:after="0" w:line="360" w:lineRule="auto"/>
        <w:contextualSpacing/>
        <w:jc w:val="both"/>
        <w:rPr>
          <w:rFonts w:ascii="Palatino Linotype" w:hAnsi="Palatino Linotype" w:cs="Arial"/>
          <w:sz w:val="24"/>
          <w:szCs w:val="24"/>
        </w:rPr>
      </w:pPr>
    </w:p>
    <w:p w:rsidR="00310843" w:rsidRPr="00310843" w:rsidRDefault="00310843" w:rsidP="00310843">
      <w:pPr>
        <w:numPr>
          <w:ilvl w:val="0"/>
          <w:numId w:val="1"/>
        </w:numPr>
        <w:spacing w:after="0" w:line="360" w:lineRule="auto"/>
        <w:ind w:left="0" w:firstLine="0"/>
        <w:contextualSpacing/>
        <w:jc w:val="both"/>
        <w:rPr>
          <w:rFonts w:ascii="Palatino Linotype" w:hAnsi="Palatino Linotype" w:cs="Arial"/>
          <w:b/>
          <w:i/>
        </w:rPr>
      </w:pPr>
      <w:r w:rsidRPr="00310843">
        <w:rPr>
          <w:rFonts w:ascii="Palatino Linotype" w:hAnsi="Palatino Linotype" w:cs="Arial"/>
          <w:sz w:val="24"/>
          <w:szCs w:val="24"/>
        </w:rPr>
        <w:t>Como es de observarse en el proyecto de resolución, el Sujeto Obligado no notificó al particular la información suficiente para que se deje por satisfecho el Derecho accionado.</w:t>
      </w:r>
    </w:p>
    <w:p w:rsidR="00310843" w:rsidRPr="00310843" w:rsidRDefault="00310843" w:rsidP="00310843">
      <w:pPr>
        <w:spacing w:after="0" w:line="360" w:lineRule="auto"/>
        <w:contextualSpacing/>
        <w:jc w:val="both"/>
        <w:rPr>
          <w:rFonts w:ascii="Palatino Linotype" w:hAnsi="Palatino Linotype" w:cs="Arial"/>
          <w:b/>
          <w:i/>
        </w:rPr>
      </w:pPr>
    </w:p>
    <w:p w:rsidR="00310843" w:rsidRPr="00310843" w:rsidRDefault="00310843" w:rsidP="00310843">
      <w:pPr>
        <w:numPr>
          <w:ilvl w:val="0"/>
          <w:numId w:val="1"/>
        </w:numPr>
        <w:spacing w:after="0" w:line="360" w:lineRule="auto"/>
        <w:ind w:left="0" w:firstLine="0"/>
        <w:contextualSpacing/>
        <w:jc w:val="both"/>
        <w:rPr>
          <w:rFonts w:ascii="Palatino Linotype" w:hAnsi="Palatino Linotype" w:cs="Arial"/>
          <w:b/>
          <w:i/>
          <w:sz w:val="24"/>
          <w:szCs w:val="24"/>
        </w:rPr>
      </w:pPr>
      <w:r w:rsidRPr="00310843">
        <w:rPr>
          <w:rFonts w:ascii="Palatino Linotype" w:hAnsi="Palatino Linotype" w:cs="Arial"/>
          <w:sz w:val="24"/>
          <w:szCs w:val="24"/>
        </w:rPr>
        <w:lastRenderedPageBreak/>
        <w:t xml:space="preserve">Sin embargo, la Ponencia encargada de desarrollar el proyecto de resolución, al percatarse de ésta situación, decidió suplir las deficiencias del Sujeto Obligado para que en base a ello </w:t>
      </w:r>
      <w:r w:rsidRPr="00310843">
        <w:rPr>
          <w:rFonts w:ascii="Palatino Linotype" w:hAnsi="Palatino Linotype" w:cs="Arial"/>
          <w:b/>
          <w:i/>
          <w:sz w:val="24"/>
          <w:szCs w:val="24"/>
        </w:rPr>
        <w:t xml:space="preserve"> </w:t>
      </w:r>
      <w:r w:rsidRPr="00310843">
        <w:rPr>
          <w:rFonts w:ascii="Palatino Linotype" w:hAnsi="Palatino Linotype" w:cs="Arial"/>
          <w:sz w:val="24"/>
          <w:szCs w:val="24"/>
        </w:rPr>
        <w:t xml:space="preserve">se dé cumplimiento al principio de celeridad, no obstante, se debe hacer saber al </w:t>
      </w:r>
      <w:r w:rsidRPr="00310843">
        <w:rPr>
          <w:rFonts w:ascii="Palatino Linotype" w:hAnsi="Palatino Linotype" w:cs="Arial"/>
          <w:b/>
          <w:sz w:val="24"/>
          <w:szCs w:val="24"/>
        </w:rPr>
        <w:t xml:space="preserve">SUJETO OBLIGADO </w:t>
      </w:r>
      <w:r w:rsidRPr="00310843">
        <w:rPr>
          <w:rFonts w:ascii="Palatino Linotype" w:hAnsi="Palatino Linotype" w:cs="Arial"/>
          <w:sz w:val="24"/>
          <w:szCs w:val="24"/>
        </w:rPr>
        <w:t xml:space="preserve">la responsabilidad que tiene como autoridad para atender y dar seguimiento a las solicitudes que formulen los particulares en pleno ejercicio al derecho constitucional y convencionalmente reconocido, observando cada uno de los pasos a seguir en el procedimiento para atender oportunamente las solicitudes de acceso a la información, ya que de lo contrario, en forma reiterada sucederá lo ocurrido en el presente asunto y esto implica que no se de cabal cumplimiento a los principios, bases y procedimientos, establecidos en la Ley de la materia, encaminados a tutelar y garantizar el Derecho de Acceso a la Información Pública. </w:t>
      </w:r>
    </w:p>
    <w:p w:rsidR="00310843" w:rsidRPr="00310843" w:rsidRDefault="00310843" w:rsidP="00310843">
      <w:pPr>
        <w:contextualSpacing/>
        <w:rPr>
          <w:rFonts w:ascii="Palatino Linotype" w:hAnsi="Palatino Linotype" w:cs="Arial"/>
          <w:sz w:val="24"/>
          <w:szCs w:val="24"/>
        </w:rPr>
      </w:pPr>
    </w:p>
    <w:p w:rsidR="00310843" w:rsidRPr="00310843" w:rsidRDefault="00310843" w:rsidP="00310843">
      <w:pPr>
        <w:numPr>
          <w:ilvl w:val="0"/>
          <w:numId w:val="1"/>
        </w:numPr>
        <w:spacing w:after="0" w:line="360" w:lineRule="auto"/>
        <w:ind w:left="0" w:firstLine="0"/>
        <w:contextualSpacing/>
        <w:jc w:val="both"/>
        <w:rPr>
          <w:rFonts w:ascii="Palatino Linotype" w:hAnsi="Palatino Linotype" w:cs="Arial"/>
          <w:sz w:val="24"/>
          <w:szCs w:val="24"/>
        </w:rPr>
      </w:pPr>
      <w:r w:rsidRPr="00310843">
        <w:rPr>
          <w:rFonts w:ascii="Palatino Linotype" w:hAnsi="Palatino Linotype" w:cs="Arial"/>
          <w:sz w:val="24"/>
          <w:szCs w:val="24"/>
        </w:rPr>
        <w:t xml:space="preserve">Cabe hacer énfasis que la suplencia realizada a la deficiencia del Sujeto Obligado contradice los principios rectores del derecho al acceso a la información y lo que establece la Comisión Interamericana de Derechos Humanos, siendo que los sujetos obligados tienen </w:t>
      </w:r>
      <w:r w:rsidRPr="00310843">
        <w:rPr>
          <w:rFonts w:ascii="Palatino Linotype" w:hAnsi="Palatino Linotype" w:cs="Arial"/>
          <w:i/>
          <w:szCs w:val="24"/>
        </w:rPr>
        <w:t xml:space="preserve">“la obligación de responder sustancialmente a las solicitudes </w:t>
      </w:r>
      <w:r w:rsidRPr="00310843">
        <w:rPr>
          <w:rFonts w:ascii="Palatino Linotype" w:hAnsi="Palatino Linotype"/>
          <w:i/>
        </w:rPr>
        <w:t>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información solicitada”</w:t>
      </w:r>
      <w:r w:rsidRPr="00310843">
        <w:rPr>
          <w:rFonts w:ascii="Palatino Linotype" w:eastAsia="Times New Roman" w:hAnsi="Palatino Linotype" w:cs="Arial"/>
          <w:vertAlign w:val="superscript"/>
          <w:lang w:val="es-ES"/>
        </w:rPr>
        <w:footnoteReference w:id="1"/>
      </w:r>
      <w:r w:rsidRPr="00310843">
        <w:rPr>
          <w:rFonts w:ascii="Palatino Linotype" w:hAnsi="Palatino Linotype"/>
          <w:i/>
        </w:rPr>
        <w:t xml:space="preserve">. </w:t>
      </w:r>
      <w:r w:rsidRPr="00310843">
        <w:rPr>
          <w:rFonts w:ascii="Palatino Linotype" w:hAnsi="Palatino Linotype"/>
        </w:rPr>
        <w:t xml:space="preserve">Es así que se </w:t>
      </w:r>
      <w:r w:rsidRPr="00310843">
        <w:rPr>
          <w:rFonts w:ascii="Palatino Linotype" w:hAnsi="Palatino Linotype" w:cs="Arial"/>
          <w:sz w:val="24"/>
          <w:szCs w:val="24"/>
        </w:rPr>
        <w:t xml:space="preserve">debe tener </w:t>
      </w:r>
      <w:r w:rsidRPr="00310843">
        <w:rPr>
          <w:rFonts w:ascii="Palatino Linotype" w:hAnsi="Palatino Linotype" w:cs="Arial"/>
          <w:sz w:val="24"/>
          <w:szCs w:val="24"/>
        </w:rPr>
        <w:lastRenderedPageBreak/>
        <w:t xml:space="preserve">especial cuidado al momento de responder a una solicitud, debiendo seguir paso a paso el procedimiento previamente establecido para tal efecto, y de esta forma dar conclusión al procedimiento de acceso a la información pública, mismo que concluye cuando el recurrente tenga a su disposición la información requerida. </w:t>
      </w:r>
    </w:p>
    <w:p w:rsidR="00310843" w:rsidRPr="00310843" w:rsidRDefault="00310843" w:rsidP="00310843">
      <w:pPr>
        <w:spacing w:after="0" w:line="360" w:lineRule="auto"/>
        <w:contextualSpacing/>
        <w:jc w:val="both"/>
        <w:rPr>
          <w:rFonts w:ascii="Palatino Linotype" w:hAnsi="Palatino Linotype" w:cs="Arial"/>
          <w:sz w:val="24"/>
          <w:szCs w:val="24"/>
        </w:rPr>
      </w:pPr>
    </w:p>
    <w:p w:rsidR="00310843" w:rsidRPr="00310843" w:rsidRDefault="00310843" w:rsidP="00310843">
      <w:pPr>
        <w:numPr>
          <w:ilvl w:val="0"/>
          <w:numId w:val="1"/>
        </w:numPr>
        <w:spacing w:after="0" w:line="360" w:lineRule="auto"/>
        <w:ind w:left="0" w:firstLine="0"/>
        <w:contextualSpacing/>
        <w:jc w:val="both"/>
        <w:rPr>
          <w:rFonts w:ascii="Palatino Linotype" w:hAnsi="Palatino Linotype" w:cs="Arial"/>
          <w:sz w:val="24"/>
          <w:szCs w:val="24"/>
        </w:rPr>
      </w:pPr>
      <w:r w:rsidRPr="00310843">
        <w:rPr>
          <w:rFonts w:ascii="Palatino Linotype" w:hAnsi="Palatino Linotype" w:cs="Arial"/>
          <w:sz w:val="24"/>
          <w:szCs w:val="24"/>
        </w:rPr>
        <w:t>Considero firmemente que el hecho de que el procedimiento de acceso a la información sea la garantía primaria para tutelar el derecho en cuestión, y se rija bajo los principios de simplicidad, rapidez y gratuidad</w:t>
      </w:r>
      <w:r w:rsidRPr="00310843">
        <w:rPr>
          <w:rFonts w:ascii="Palatino Linotype" w:hAnsi="Palatino Linotype" w:cs="Arial"/>
          <w:sz w:val="24"/>
          <w:szCs w:val="24"/>
          <w:vertAlign w:val="superscript"/>
        </w:rPr>
        <w:footnoteReference w:id="2"/>
      </w:r>
      <w:r w:rsidRPr="00310843">
        <w:rPr>
          <w:rFonts w:ascii="Palatino Linotype" w:hAnsi="Palatino Linotype" w:cs="Arial"/>
          <w:sz w:val="24"/>
          <w:szCs w:val="24"/>
        </w:rPr>
        <w:t xml:space="preserve"> no establece la obligación del Instituto a actuar con exceso en la suplencia sobre las deficiencias generadas durante la sustanciación del recurso de revisión. Bajo dicha aseveración, tengo la certeza de que el actuar de la ponencia es con único fin de brindar un procedimiento expedito y sencillo, para así dar cabal cumplimiento al derecho ejercido por la recurrente en el menor tiempo posible, sin embargo, al realizar una suplencia como la que se llevó a cabo en el presente caso que hoy nos ocupa, nosotros como Órgano Garante del derecho al acceso a la información, estaríamos consintiendo el mal actuar del Sujeto Obligado quien, como se ha dicho, se encuentra constreñido en atender de manera completa y oportuna las solicitudes que ante él se formulen, lo que en consecuencia puede provocar, que en futuras solicitudes de información y recursos de revisión, el Sujeto Obligado se limite solamente a entregar parte de lo solicitado, considerando </w:t>
      </w:r>
      <w:r w:rsidRPr="00310843">
        <w:rPr>
          <w:rFonts w:ascii="Palatino Linotype" w:hAnsi="Palatino Linotype" w:cs="Arial"/>
          <w:sz w:val="24"/>
          <w:szCs w:val="24"/>
        </w:rPr>
        <w:lastRenderedPageBreak/>
        <w:t>que este Instituto realizará la debida suplencia para garantizar el cabal cumplimiento del derecho de los accionantes.</w:t>
      </w:r>
    </w:p>
    <w:p w:rsidR="00310843" w:rsidRPr="00310843" w:rsidRDefault="00310843" w:rsidP="00310843">
      <w:pPr>
        <w:spacing w:after="0" w:line="360" w:lineRule="auto"/>
        <w:contextualSpacing/>
        <w:jc w:val="both"/>
        <w:rPr>
          <w:rFonts w:ascii="Palatino Linotype" w:hAnsi="Palatino Linotype" w:cs="Arial"/>
          <w:sz w:val="24"/>
          <w:szCs w:val="24"/>
        </w:rPr>
      </w:pPr>
    </w:p>
    <w:p w:rsidR="00310843" w:rsidRPr="00310843" w:rsidRDefault="00310843" w:rsidP="00310843">
      <w:pPr>
        <w:numPr>
          <w:ilvl w:val="0"/>
          <w:numId w:val="1"/>
        </w:numPr>
        <w:spacing w:after="0" w:line="360" w:lineRule="auto"/>
        <w:ind w:left="0" w:firstLine="0"/>
        <w:contextualSpacing/>
        <w:jc w:val="both"/>
        <w:rPr>
          <w:rFonts w:ascii="Palatino Linotype" w:hAnsi="Palatino Linotype" w:cs="Arial"/>
          <w:sz w:val="24"/>
          <w:szCs w:val="24"/>
        </w:rPr>
      </w:pPr>
      <w:r w:rsidRPr="00310843">
        <w:rPr>
          <w:rFonts w:ascii="Palatino Linotype" w:hAnsi="Palatino Linotype" w:cs="Arial"/>
          <w:sz w:val="24"/>
          <w:szCs w:val="24"/>
        </w:rPr>
        <w:t>Asimismo, en el presente caso en particular no se comparte que la ponencia resolutora haya realizado la suplencia a la deficiencia del Sujeto Obligado, toda vez que si bien es cierto da rapidez y celeridad al procedimiento, en consecuencia, se tiene que el derecho de acceso a la información que ejerció el particular se encuentra afectado y quien tiene el deber de reparar cualquier posible afectación es el Sujeto Obligado conforme a lo estipulado en el artículo 176 de la Ley de Transparencia y Acceso a la Información Pública del Estado de México y Municipios, mas no este Órgano Garante, puesto que este último se limita a garantizar el cumplimiento al derecho de acceso a la información, mas no tiene la obligación de atender los requerimientos planteados por los particulares, y más aún si los Sujetos Obligados faltan al cumplimiento de sus obligaciones, como lo es el caso en particular que se muestra una omisión por atender las solicitudes de acceso a la información.</w:t>
      </w:r>
    </w:p>
    <w:p w:rsidR="00310843" w:rsidRPr="00310843" w:rsidRDefault="00310843" w:rsidP="00310843">
      <w:pPr>
        <w:keepNext/>
        <w:keepLines/>
        <w:numPr>
          <w:ilvl w:val="0"/>
          <w:numId w:val="2"/>
        </w:numPr>
        <w:spacing w:before="240" w:after="0"/>
        <w:ind w:left="0" w:firstLine="0"/>
        <w:outlineLvl w:val="0"/>
        <w:rPr>
          <w:rFonts w:ascii="Palatino Linotype" w:eastAsiaTheme="majorEastAsia" w:hAnsi="Palatino Linotype" w:cstheme="majorBidi"/>
          <w:b/>
          <w:sz w:val="24"/>
          <w:szCs w:val="32"/>
        </w:rPr>
      </w:pPr>
      <w:r w:rsidRPr="00310843">
        <w:rPr>
          <w:rFonts w:ascii="Palatino Linotype" w:eastAsiaTheme="majorEastAsia" w:hAnsi="Palatino Linotype" w:cstheme="majorBidi"/>
          <w:b/>
          <w:sz w:val="24"/>
          <w:szCs w:val="32"/>
        </w:rPr>
        <w:t xml:space="preserve"> </w:t>
      </w:r>
      <w:bookmarkStart w:id="4" w:name="_Toc527987677"/>
      <w:r w:rsidRPr="00310843">
        <w:rPr>
          <w:rFonts w:ascii="Palatino Linotype" w:eastAsiaTheme="majorEastAsia" w:hAnsi="Palatino Linotype" w:cstheme="majorBidi"/>
          <w:b/>
          <w:sz w:val="24"/>
          <w:szCs w:val="32"/>
        </w:rPr>
        <w:t>Conclusión.</w:t>
      </w:r>
      <w:bookmarkEnd w:id="4"/>
    </w:p>
    <w:p w:rsidR="00310843" w:rsidRPr="00310843" w:rsidRDefault="00310843" w:rsidP="00310843"/>
    <w:p w:rsidR="00310843" w:rsidRPr="00310843" w:rsidRDefault="00310843" w:rsidP="00310843">
      <w:pPr>
        <w:numPr>
          <w:ilvl w:val="0"/>
          <w:numId w:val="1"/>
        </w:numPr>
        <w:spacing w:after="0" w:line="360" w:lineRule="auto"/>
        <w:ind w:left="0" w:firstLine="0"/>
        <w:contextualSpacing/>
        <w:jc w:val="both"/>
        <w:rPr>
          <w:rFonts w:ascii="Palatino Linotype" w:hAnsi="Palatino Linotype" w:cs="Arial"/>
          <w:sz w:val="24"/>
          <w:szCs w:val="24"/>
        </w:rPr>
      </w:pPr>
      <w:r w:rsidRPr="00310843">
        <w:rPr>
          <w:rFonts w:ascii="Palatino Linotype" w:hAnsi="Palatino Linotype" w:cs="Arial"/>
          <w:sz w:val="24"/>
          <w:szCs w:val="24"/>
        </w:rPr>
        <w:t xml:space="preserve">Si bien, la suplencia a las deficiencias incurridas por parte de los Sujetos Obligados ayudan a brindar un procedimiento expedito garantizando que se colme con el derecho de los particulares de manera correcta y completa en el menor tiempo posible, resarciendo así, cualquier posible afectación que se haya generado mediante la respuesta a la solicitud, sin embargo, da pie a que los Sujetos Obligados en </w:t>
      </w:r>
      <w:r w:rsidRPr="00310843">
        <w:rPr>
          <w:rFonts w:ascii="Palatino Linotype" w:hAnsi="Palatino Linotype" w:cs="Arial"/>
          <w:sz w:val="24"/>
          <w:szCs w:val="24"/>
        </w:rPr>
        <w:lastRenderedPageBreak/>
        <w:t>procedimientos futuros, en respuesta a las solicitudes no brinden la información oportuna y completa, teniendo la certeza de que nosotros como Órgano Garante, supliremos las deficiencias suscitadas, provocando así, un daño mayor al beneficio que se pretende otorgar.</w:t>
      </w:r>
    </w:p>
    <w:p w:rsidR="00310843" w:rsidRPr="00310843" w:rsidRDefault="00310843" w:rsidP="00310843">
      <w:pPr>
        <w:spacing w:after="0" w:line="360" w:lineRule="auto"/>
        <w:jc w:val="both"/>
        <w:rPr>
          <w:rFonts w:ascii="Palatino Linotype" w:hAnsi="Palatino Linotype" w:cs="Arial"/>
          <w:sz w:val="24"/>
          <w:szCs w:val="24"/>
        </w:rPr>
      </w:pPr>
    </w:p>
    <w:p w:rsidR="00310843" w:rsidRPr="00310843" w:rsidRDefault="00310843" w:rsidP="00310843">
      <w:pPr>
        <w:spacing w:after="0" w:line="360" w:lineRule="auto"/>
        <w:jc w:val="both"/>
        <w:rPr>
          <w:rFonts w:ascii="Palatino Linotype" w:hAnsi="Palatino Linotype" w:cs="Arial"/>
          <w:sz w:val="24"/>
          <w:szCs w:val="24"/>
        </w:rPr>
      </w:pPr>
    </w:p>
    <w:p w:rsidR="00310843" w:rsidRPr="00310843" w:rsidRDefault="00310843" w:rsidP="00310843">
      <w:pPr>
        <w:spacing w:after="0" w:line="360" w:lineRule="auto"/>
        <w:jc w:val="both"/>
        <w:rPr>
          <w:rFonts w:ascii="Palatino Linotype" w:hAnsi="Palatino Linotype" w:cs="Arial"/>
          <w:sz w:val="24"/>
          <w:szCs w:val="24"/>
        </w:rPr>
      </w:pPr>
    </w:p>
    <w:p w:rsidR="00310843" w:rsidRPr="00310843" w:rsidRDefault="00310843" w:rsidP="00310843">
      <w:pPr>
        <w:spacing w:after="0" w:line="360" w:lineRule="auto"/>
        <w:jc w:val="both"/>
        <w:rPr>
          <w:rFonts w:ascii="Palatino Linotype" w:hAnsi="Palatino Linotype" w:cs="Arial"/>
          <w:sz w:val="24"/>
          <w:szCs w:val="24"/>
        </w:rPr>
      </w:pPr>
    </w:p>
    <w:p w:rsidR="00310843" w:rsidRPr="00310843" w:rsidRDefault="00310843" w:rsidP="00310843">
      <w:pPr>
        <w:spacing w:line="360" w:lineRule="auto"/>
        <w:jc w:val="center"/>
        <w:rPr>
          <w:rFonts w:ascii="Palatino Linotype" w:eastAsia="Calibri" w:hAnsi="Palatino Linotype" w:cs="Arial"/>
          <w:b/>
          <w:sz w:val="24"/>
          <w:szCs w:val="24"/>
        </w:rPr>
      </w:pPr>
      <w:r w:rsidRPr="00310843">
        <w:rPr>
          <w:rFonts w:ascii="Palatino Linotype" w:eastAsia="Calibri" w:hAnsi="Palatino Linotype" w:cs="Arial"/>
          <w:b/>
          <w:sz w:val="24"/>
          <w:szCs w:val="24"/>
        </w:rPr>
        <w:t>JOSÉ GUADALUPE LUNA HERNÁNDEZ</w:t>
      </w:r>
    </w:p>
    <w:p w:rsidR="00310843" w:rsidRPr="00310843" w:rsidRDefault="00310843" w:rsidP="00310843">
      <w:pPr>
        <w:spacing w:line="360" w:lineRule="auto"/>
        <w:jc w:val="center"/>
        <w:rPr>
          <w:rFonts w:ascii="Palatino Linotype" w:eastAsia="Calibri" w:hAnsi="Palatino Linotype" w:cs="Arial"/>
          <w:b/>
          <w:sz w:val="24"/>
          <w:szCs w:val="24"/>
        </w:rPr>
      </w:pPr>
      <w:r w:rsidRPr="00310843">
        <w:rPr>
          <w:rFonts w:ascii="Palatino Linotype" w:eastAsia="Calibri" w:hAnsi="Palatino Linotype" w:cs="Arial"/>
          <w:b/>
          <w:sz w:val="24"/>
          <w:szCs w:val="24"/>
        </w:rPr>
        <w:t>COMISIONADO</w:t>
      </w:r>
    </w:p>
    <w:p w:rsidR="00310843" w:rsidRPr="00310843" w:rsidRDefault="00310843" w:rsidP="00310843">
      <w:pPr>
        <w:spacing w:line="360" w:lineRule="auto"/>
        <w:jc w:val="center"/>
        <w:rPr>
          <w:rFonts w:ascii="Palatino Linotype" w:eastAsia="Calibri" w:hAnsi="Palatino Linotype" w:cs="Arial"/>
          <w:b/>
          <w:sz w:val="24"/>
          <w:szCs w:val="24"/>
        </w:rPr>
      </w:pPr>
      <w:r w:rsidRPr="00310843">
        <w:rPr>
          <w:rFonts w:ascii="Palatino Linotype" w:eastAsia="Calibri" w:hAnsi="Palatino Linotype" w:cs="Arial"/>
          <w:b/>
          <w:sz w:val="24"/>
          <w:szCs w:val="24"/>
        </w:rPr>
        <w:t>(Rúbrica)</w:t>
      </w:r>
    </w:p>
    <w:p w:rsidR="00310843" w:rsidRPr="00310843" w:rsidRDefault="00D365C2" w:rsidP="00310843">
      <w:pPr>
        <w:spacing w:line="360" w:lineRule="auto"/>
      </w:pPr>
      <w:r>
        <w:rPr>
          <w:rFonts w:ascii="Palatino Linotype" w:eastAsia="Calibri" w:hAnsi="Palatino Linotype" w:cs="Arial"/>
          <w:b/>
          <w:sz w:val="24"/>
          <w:szCs w:val="24"/>
        </w:rPr>
        <w:t>JGLH/MSA</w:t>
      </w:r>
    </w:p>
    <w:p w:rsidR="0025734D" w:rsidRDefault="0025734D" w:rsidP="00310843"/>
    <w:sectPr w:rsidR="0025734D" w:rsidSect="00267F73">
      <w:headerReference w:type="even" r:id="rId7"/>
      <w:headerReference w:type="default" r:id="rId8"/>
      <w:footerReference w:type="default" r:id="rId9"/>
      <w:headerReference w:type="first" r:id="rId10"/>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997" w:rsidRDefault="00B50997" w:rsidP="00310843">
      <w:pPr>
        <w:spacing w:after="0" w:line="240" w:lineRule="auto"/>
      </w:pPr>
      <w:r>
        <w:separator/>
      </w:r>
    </w:p>
  </w:endnote>
  <w:endnote w:type="continuationSeparator" w:id="0">
    <w:p w:rsidR="00B50997" w:rsidRDefault="00B50997" w:rsidP="00310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4551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4644C">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4644C">
              <w:rPr>
                <w:b/>
                <w:bCs/>
                <w:noProof/>
              </w:rPr>
              <w:t>9</w:t>
            </w:r>
            <w:r>
              <w:rPr>
                <w:b/>
                <w:bCs/>
                <w:sz w:val="24"/>
                <w:szCs w:val="24"/>
              </w:rPr>
              <w:fldChar w:fldCharType="end"/>
            </w:r>
          </w:p>
        </w:sdtContent>
      </w:sdt>
    </w:sdtContent>
  </w:sdt>
  <w:p w:rsidR="00951E8B" w:rsidRDefault="00B50997"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997" w:rsidRDefault="00B50997" w:rsidP="00310843">
      <w:pPr>
        <w:spacing w:after="0" w:line="240" w:lineRule="auto"/>
      </w:pPr>
      <w:r>
        <w:separator/>
      </w:r>
    </w:p>
  </w:footnote>
  <w:footnote w:type="continuationSeparator" w:id="0">
    <w:p w:rsidR="00B50997" w:rsidRDefault="00B50997" w:rsidP="00310843">
      <w:pPr>
        <w:spacing w:after="0" w:line="240" w:lineRule="auto"/>
      </w:pPr>
      <w:r>
        <w:continuationSeparator/>
      </w:r>
    </w:p>
  </w:footnote>
  <w:footnote w:id="1">
    <w:p w:rsidR="00310843" w:rsidRPr="00D45A90" w:rsidRDefault="00310843" w:rsidP="00310843">
      <w:pPr>
        <w:pStyle w:val="Textonotapie"/>
        <w:rPr>
          <w:lang w:val="es-ES"/>
        </w:rPr>
      </w:pPr>
      <w:r>
        <w:rPr>
          <w:rStyle w:val="Refdenotaalpie"/>
        </w:rPr>
        <w:footnoteRef/>
      </w:r>
      <w:r>
        <w:t xml:space="preserve"> </w:t>
      </w:r>
      <w:r w:rsidRPr="00D45A90">
        <w:rPr>
          <w:rFonts w:ascii="Arial" w:hAnsi="Arial" w:cs="Arial"/>
          <w:sz w:val="18"/>
        </w:rPr>
        <w:t>CIDH. El derecho de acceso a la información en el marco jurídic</w:t>
      </w:r>
      <w:r>
        <w:rPr>
          <w:rFonts w:ascii="Arial" w:hAnsi="Arial" w:cs="Arial"/>
          <w:sz w:val="18"/>
        </w:rPr>
        <w:t xml:space="preserve">o interamericano. 2009. Párr. 172. Disponible en </w:t>
      </w:r>
      <w:r w:rsidRPr="00D45A90">
        <w:rPr>
          <w:rFonts w:ascii="Arial" w:hAnsi="Arial" w:cs="Arial"/>
          <w:sz w:val="18"/>
        </w:rPr>
        <w:t>http://www.oas.org/es/cidh/expresion/docs/publicaciones/ACCESO%20A%20LA%20INFORMACION%20FINAL%20CON%20PORTADA.pdf</w:t>
      </w:r>
    </w:p>
  </w:footnote>
  <w:footnote w:id="2">
    <w:p w:rsidR="00310843" w:rsidRDefault="00310843" w:rsidP="00310843">
      <w:pPr>
        <w:pStyle w:val="Textonotapie"/>
      </w:pPr>
      <w:r>
        <w:rPr>
          <w:rStyle w:val="Refdenotaalpie"/>
        </w:rPr>
        <w:footnoteRef/>
      </w:r>
      <w:r>
        <w:t xml:space="preserve"> Artículo 150,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5099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50997">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1" type="#_x0000_t136" style="position:absolute;margin-left:0;margin-top:0;width:566.4pt;height:56.6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B5099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5099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11F13"/>
    <w:multiLevelType w:val="hybridMultilevel"/>
    <w:tmpl w:val="AFB67696"/>
    <w:lvl w:ilvl="0" w:tplc="C89EEC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E575D9"/>
    <w:multiLevelType w:val="hybridMultilevel"/>
    <w:tmpl w:val="D2582708"/>
    <w:lvl w:ilvl="0" w:tplc="080A000B">
      <w:start w:val="1"/>
      <w:numFmt w:val="bullet"/>
      <w:lvlText w:val=""/>
      <w:lvlJc w:val="left"/>
      <w:pPr>
        <w:ind w:left="360" w:hanging="360"/>
      </w:pPr>
      <w:rPr>
        <w:rFonts w:ascii="Wingdings" w:hAnsi="Wingding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843"/>
    <w:rsid w:val="0025734D"/>
    <w:rsid w:val="00310843"/>
    <w:rsid w:val="0044644C"/>
    <w:rsid w:val="005F4140"/>
    <w:rsid w:val="00721193"/>
    <w:rsid w:val="00780FBA"/>
    <w:rsid w:val="00B45514"/>
    <w:rsid w:val="00B50997"/>
    <w:rsid w:val="00D365C2"/>
    <w:rsid w:val="00E27D45"/>
    <w:rsid w:val="00F035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7DA8D07-BD34-4AA8-A5A7-FC11AD01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1084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1084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10843"/>
    <w:rPr>
      <w:vertAlign w:val="superscript"/>
    </w:rPr>
  </w:style>
  <w:style w:type="paragraph" w:styleId="Piedepgina">
    <w:name w:val="footer"/>
    <w:basedOn w:val="Normal"/>
    <w:link w:val="PiedepginaCar"/>
    <w:uiPriority w:val="99"/>
    <w:unhideWhenUsed/>
    <w:rsid w:val="00310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0843"/>
  </w:style>
  <w:style w:type="paragraph" w:styleId="Encabezado">
    <w:name w:val="header"/>
    <w:basedOn w:val="Normal"/>
    <w:link w:val="EncabezadoCar"/>
    <w:uiPriority w:val="99"/>
    <w:unhideWhenUsed/>
    <w:rsid w:val="003108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0843"/>
  </w:style>
  <w:style w:type="paragraph" w:styleId="Prrafodelista">
    <w:name w:val="List Paragraph"/>
    <w:basedOn w:val="Normal"/>
    <w:uiPriority w:val="34"/>
    <w:qFormat/>
    <w:rsid w:val="00310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1644</Words>
  <Characters>9044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2</cp:revision>
  <dcterms:created xsi:type="dcterms:W3CDTF">2019-02-26T23:56:00Z</dcterms:created>
  <dcterms:modified xsi:type="dcterms:W3CDTF">2019-02-26T23:56:00Z</dcterms:modified>
</cp:coreProperties>
</file>